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Kraus Timothy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3939 TECHNOLOGY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MAUMEE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43537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DANA Inc</w:t>
              </w:r>
            </w:hyperlink>
            <w:r>
              <w:rPr/>
              <w:t xml:space="preserve"> [ </w:t>
            </w:r>
            <w:r>
              <w:rPr>
                <w:rFonts w:ascii="Times;serif" w:hAnsi="Times;serif"/>
                <w:color w:val="0000FF"/>
                <w:sz w:val="24"/>
                <w:shd w:fill="FFFFFF" w:val="clear"/>
              </w:rPr>
              <w:t>DAN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473</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8,125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Dividend equivalent rights accrued on previously granted restricted stock units and become exercisable proportionately with the restricted stock units to which they relate. Each dividend equivalent right is the economic equivalent of one share of Dana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Laura L. Aossey on behalf of Timothy R. Kraus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7201" TargetMode="External"/><Relationship Id="rId5" Type="http://schemas.openxmlformats.org/officeDocument/2006/relationships/hyperlink" Target="http://www.sec.gov/cgi-bin/browse-edgar?action=getcompany&amp;CIK=00000267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3345</Characters>
  <CharactersWithSpaces>3891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