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10, 2026</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EATON CORPORATION plc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5"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000-54863</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98-1059235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740" w:space="720"/>
            <w:col w:w="3080"/>
          </w:cols>
          <w:pgMar w:left="320" w:top="725" w:right="339" w:bottom="1440" w:gutter="0" w:footer="0" w:header="0"/>
          <w:type w:val="continuous"/>
        </w:sectPr>
      </w:pPr>
    </w:p>
    <w:p>
      <w:pPr>
        <w:spacing w:after="0" w:line="14"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Eaton House, 30 Pembroke Road</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Dublin 4, Ireland</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D04 Y0C2</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+353 1637 2900</w:t>
      </w:r>
    </w:p>
    <w:p>
      <w:pPr>
        <w:spacing w:after="0" w:line="1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5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($0.01 par value)</w:t>
            </w:r>
          </w:p>
        </w:tc>
        <w:tc>
          <w:tcPr>
            <w:tcW w:w="120" w:type="dxa"/>
            <w:vAlign w:val="bottom"/>
          </w:tcPr>
          <w:p>
            <w:pPr>
              <w:spacing w:after="0"/>
              <w:rPr>
                <w:sz w:val="16"/>
                <w:szCs w:val="16"/>
                <w:color w:val="auto"/>
              </w:rPr>
            </w:pPr>
          </w:p>
        </w:tc>
        <w:tc>
          <w:tcPr>
            <w:tcW w:w="2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ETN</w:t>
            </w:r>
          </w:p>
        </w:tc>
        <w:tc>
          <w:tcPr>
            <w:tcW w:w="120" w:type="dxa"/>
            <w:vAlign w:val="bottom"/>
          </w:tcPr>
          <w:p>
            <w:pPr>
              <w:spacing w:after="0"/>
              <w:rPr>
                <w:sz w:val="16"/>
                <w:szCs w:val="16"/>
                <w:color w:val="auto"/>
              </w:rPr>
            </w:pPr>
          </w:p>
        </w:tc>
        <w:tc>
          <w:tcPr>
            <w:tcW w:w="3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3.850% Senior Notes due 2028</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ETN/28</w:t>
            </w: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3.950% Senior Notes due 2029</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ETN/29</w:t>
            </w: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4.450% Senior Notes due 2030</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ETN/30</w:t>
            </w: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4.200% Senior Notes due 2031</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ETN/31</w:t>
            </w: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4.500% Senior Notes due 2033</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ETN/33</w:t>
            </w: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3.550% Senior Notes due 2034</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ETN/34</w:t>
            </w: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3.625% Senior Notes due 2035</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ETN/35</w:t>
            </w: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4.800% Senior Notes due 2036</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ETN/36</w:t>
            </w: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 Senior Notes due 2038</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ETN/38</w:t>
            </w: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5.450% Senior Notes due 2056</w:t>
            </w:r>
          </w:p>
        </w:tc>
        <w:tc>
          <w:tcPr>
            <w:tcW w:w="1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ETN/56</w:t>
            </w:r>
          </w:p>
        </w:tc>
        <w:tc>
          <w:tcPr>
            <w:tcW w:w="1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2026, Eaton Corporation plc (the “Company”) issued a press release announcing the Company’s entry into a definitive agreement with Dana Incorporated, a Delaware corporation (“Merger Partner”), regarding the separation of the Company’s mobility business. The press release is furnished hereto as Exhibit 99.1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10, 2026, the Company entered into definitive agreements with Merger Partner pursuant to which the Company will separate its Mobility segment (the “SpinCo Business”) and combine it with Merger Partner in a Reverse Morris Trust transaction.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prior to the Merger (as defined below) and pursuant to a Separation and Distribution Agreement among the Company, Eaton Corporation, an Ohio corporation (“Eaton Ohio”), Eaton Capital Unlimited Company, an Irish public unlimited company, Mobility (USA) Corporation, a Delaware corporation and wholly owned subsidiary of the Company (“SpinCo”), and Merger Partner, dated as of June 10, 2026 (the “Separation Agreement”), the Company will, among other things and subject to the terms and conditions of the Separation Agreement, transfer the SpinCo Business to SpinCo and its subsidiaries and, in connection therewith, will distribute to the Company shareholders shares of common stock of SpinCo (the “Distribution”).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following the Distribution and pursuant to an Agreement and Plan of Merger (the “Merger Agreement”) with Eaton Ohio, SpinCo, Atlas Mobility Sub, Inc., a Delaware corporation and wholly owned subsidiary of SpinCo (“Merger Sub”), Merger Sub will be merged with and into Merger Partner (the “Merger”), with Merger Partner surviving and continuing as the surviving corporation of the Merger and as a direct, wholly owned subsidiary of SpinCo. Subject to the terms and conditions of the Merger Agreement, at closing, each share of common stock of Merger Partner that is outstanding as of immediately prior to the closing will be converted into the right to receive a number of SpinCo shares equal to the exchange ratio specified in the Merger Agreement, subject to adjustment.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the Company will receive approximately $1.1 billion in cash distribution and the Company shareholders will receive newly issued shares of the combined company such that the Company shareholders will own at least 50.1% of the combined company’s outstanding shares following the consummation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46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13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Eaton Corporation plc dated June 11, 2026</w:t>
            </w: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gridSpan w:val="2"/>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Notes on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These forward-looking statements generally are identified by the words “believe,” “intend,”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Eaton’s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 and Dana’s stock prices; restrictions on the conduct of Eaton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 and Dana’s reports filed with the Securities and Exchange Commission (the “SEC”), including Eaton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statements speak only as of the date of this Current Report on Form 8-K. Neither Eaton nor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Information About the Transaction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w:t>
      </w:r>
    </w:p>
    <w:p>
      <w:pPr>
        <w:spacing w:after="0" w:line="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Current Report on Form 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5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Eaton Corporation plc</w:t>
            </w:r>
          </w:p>
        </w:tc>
        <w:tc>
          <w:tcPr>
            <w:tcW w:w="1120" w:type="dxa"/>
            <w:vAlign w:val="bottom"/>
          </w:tcPr>
          <w:p>
            <w:pPr>
              <w:spacing w:after="0"/>
              <w:rPr>
                <w:sz w:val="20"/>
                <w:szCs w:val="20"/>
                <w:color w:val="auto"/>
              </w:rPr>
            </w:pP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Lucy Clark Dougherty</w:t>
            </w:r>
          </w:p>
        </w:tc>
        <w:tc>
          <w:tcPr>
            <w:tcW w:w="1120" w:type="dxa"/>
            <w:vAlign w:val="bottom"/>
          </w:tcPr>
          <w:p>
            <w:pPr>
              <w:spacing w:after="0"/>
              <w:rPr>
                <w:sz w:val="24"/>
                <w:szCs w:val="24"/>
                <w:color w:val="auto"/>
              </w:rPr>
            </w:pP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Lucy Clark Dougherty</w:t>
            </w:r>
          </w:p>
        </w:tc>
        <w:tc>
          <w:tcPr>
            <w:tcW w:w="112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c>
          <w:tcPr>
            <w:tcW w:w="1120" w:type="dxa"/>
            <w:vAlign w:val="bottom"/>
          </w:tcPr>
          <w:p>
            <w:pPr>
              <w:spacing w:after="0"/>
              <w:rPr>
                <w:sz w:val="20"/>
                <w:szCs w:val="20"/>
                <w:color w:val="auto"/>
              </w:rPr>
            </w:pPr>
          </w:p>
        </w:tc>
      </w:tr>
      <w:tr>
        <w:trPr>
          <w:trHeight w:val="1411"/>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Eaton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28775"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63436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-118745</wp:posOffset>
            </wp:positionV>
            <wp:extent cx="900430" cy="694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00430" cy="6940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Eaton Center</w:t>
      </w:r>
    </w:p>
    <w:p>
      <w:pPr>
        <w:ind w:left="6760"/>
        <w:spacing w:after="0"/>
        <w:rPr>
          <w:sz w:val="20"/>
          <w:szCs w:val="20"/>
          <w:color w:val="auto"/>
        </w:rPr>
      </w:pPr>
      <w:r>
        <w:rPr>
          <w:rFonts w:ascii="Arial" w:cs="Arial" w:eastAsia="Arial" w:hAnsi="Arial"/>
          <w:sz w:val="18"/>
          <w:szCs w:val="18"/>
          <w:color w:val="auto"/>
        </w:rPr>
        <w:t>Cleveland, OH 44122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June 11, 2026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Eaton Advances 2030 Growth Strategy with Announcement to Combine Mobility Group with Dana Incorporated</w:t>
      </w:r>
    </w:p>
    <w:p>
      <w:pPr>
        <w:spacing w:after="0" w:line="198" w:lineRule="exact"/>
        <w:rPr>
          <w:sz w:val="20"/>
          <w:szCs w:val="20"/>
          <w:color w:val="auto"/>
        </w:rPr>
      </w:pPr>
    </w:p>
    <w:p>
      <w:pPr>
        <w:ind w:left="660" w:right="200" w:hanging="328"/>
        <w:spacing w:after="0" w:line="24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Enhances Eaton’s focus on higher growth, higher margin Electrical and Aerospace businesses directly aligned to secular megatrends</w:t>
      </w:r>
    </w:p>
    <w:p>
      <w:pPr>
        <w:ind w:left="660" w:right="220" w:hanging="328"/>
        <w:spacing w:after="0" w:line="23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Immediately accretive to Eaton’s organic growth rate and operating margins upon closing, expected in the first quarter of 2027</w:t>
      </w:r>
    </w:p>
    <w:p>
      <w:pPr>
        <w:spacing w:after="0" w:line="1" w:lineRule="exact"/>
        <w:rPr>
          <w:rFonts w:ascii="Arial" w:cs="Arial" w:eastAsia="Arial" w:hAnsi="Arial"/>
          <w:sz w:val="18"/>
          <w:szCs w:val="18"/>
          <w:b w:val="1"/>
          <w:bCs w:val="1"/>
          <w:color w:val="auto"/>
        </w:rPr>
      </w:pPr>
    </w:p>
    <w:p>
      <w:pPr>
        <w:ind w:left="660" w:right="420" w:hanging="328"/>
        <w:spacing w:after="0" w:line="23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Reverse Morris Trust transaction values combined company at over $10 billion in enterprise value and Eaton’s Mobility Group at approximately $5.1 billion</w:t>
      </w:r>
    </w:p>
    <w:p>
      <w:pPr>
        <w:spacing w:after="0" w:line="1" w:lineRule="exact"/>
        <w:rPr>
          <w:rFonts w:ascii="Arial" w:cs="Arial" w:eastAsia="Arial" w:hAnsi="Arial"/>
          <w:sz w:val="18"/>
          <w:szCs w:val="18"/>
          <w:b w:val="1"/>
          <w:bCs w:val="1"/>
          <w:color w:val="auto"/>
        </w:rPr>
      </w:pPr>
    </w:p>
    <w:p>
      <w:pPr>
        <w:ind w:left="660" w:right="100" w:hanging="328"/>
        <w:spacing w:after="0" w:line="23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Eaton to receive an approximately $1.1 billion cash distribution; Eaton shareholders to own at least 50.1% of the combined company</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Combined company shareholders to benefit from $250 million of run-rate synergies</w:t>
      </w:r>
    </w:p>
    <w:p>
      <w:pPr>
        <w:spacing w:after="0" w:line="1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 xml:space="preserve">DUBLIN </w:t>
      </w:r>
      <w:r>
        <w:rPr>
          <w:rFonts w:ascii="Arial" w:cs="Arial" w:eastAsia="Arial" w:hAnsi="Arial"/>
          <w:sz w:val="18"/>
          <w:szCs w:val="18"/>
          <w:color w:val="auto"/>
        </w:rPr>
        <w:t>– Intelligent power management company Eaton (NYSE: ETN) today announced the next step in Eaton’s ongoing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transformation. Eaton entered into a definitive agreement with Dana Incorporated (NYSE: DAN) under which Eaton will separate and combine its Mobility Group with Dana in a Reverse Morris Trust (RMT) transaction creating a combined company valued at over $10 billion.</w:t>
      </w:r>
    </w:p>
    <w:p>
      <w:pPr>
        <w:spacing w:after="0" w:line="15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separation of the Mobility Group marks the next step in Eaton’s ongoing portfolio transformation and positions Eaton to execute on the Company’s 2030 growth strategy. Upon closing of the transaction, Eaton will operate a more focused portfolio concentrated on its Electrical and Aerospace businesses, which are directly aligned to secular growth themes in electrification, digitalization, AI-driven data center buildout, infrastructure modernization, aerospace aftermarket, and defense spending. The recent acquisitions of Ultra PCS and Boyd Thermal further strengthen the Company’s strategic positioning, extending Eaton’s capabilities in aerospace electronic controls and liquid cooling for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right="20"/>
        <w:spacing w:after="0" w:line="253" w:lineRule="auto"/>
        <w:rPr>
          <w:sz w:val="20"/>
          <w:szCs w:val="20"/>
          <w:color w:val="auto"/>
        </w:rPr>
      </w:pPr>
      <w:r>
        <w:rPr>
          <w:rFonts w:ascii="Arial" w:cs="Arial" w:eastAsia="Arial" w:hAnsi="Arial"/>
          <w:sz w:val="18"/>
          <w:szCs w:val="18"/>
          <w:color w:val="auto"/>
        </w:rPr>
        <w:t>The separation is expected to be immediately accretive to Eaton’s organic growth rate and operating margins upon closing. Eaton expects to deploy the approximately $1.1 billion cash distribution from the transaction consistent with its existing capital allocation framework and priorities, including repayment of outstanding indebtedness.</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Paulo Ruiz, Eaton chief executive officer, said, “We are pleased to have reached this agreement, which delivers significant value to Eaton and its shareholders, and represents a major milestone in Eaton’s 2030 growth strategy to lead, invest, and execute for growth. Eaton shareholders will benefit from the meaningful upside created by the combined company, and the transaction will provide substantial cash value for Eaton to deploy to our highest-growth and highest-margin opportunities. Looking ahead, our portfolio will be closely aligned with the powerful megatrends driving generational growth in our Electrical and Aerospace businesses, and we look forward to continuing our momentum to drive meaningful value for our customers and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Combining Mobility Group and Dana</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combined Mobility Group and Dana will be a scaled, global engineered solutions partner, well-positioned to serve commercial vehicle and light vehicle OEMs worldwide. Together, the combined company will offer a comprehensive and complementary portfolio of drivetrain, propulsion, electrification, and power management solutions spanning internal combustion, hybrid, and fully electric platforms to commercial vehicle and automotive OEMs, supported by comprehensive technology capabilities and best in class manufacturing capabilities. The combined company expects to generate approximately $11 billion in pro forma revenue and $1.7 billion in pro forma estimated 2026 adjusted EBITDA (including run-rate synergies, which are expected to be fully realized within 24 months following closing).</w:t>
      </w:r>
    </w:p>
    <w:p>
      <w:pPr>
        <w:spacing w:after="0" w:line="17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combined company will benefit from increased scale, $ 250 million of run-rate cost synergies, and greater diversification across customers, geographies, and end markets. It will also have an expanded aftermarket presence, which is expected to deliver more resilient revenue streams across economic cycles.</w:t>
      </w:r>
    </w:p>
    <w:p>
      <w:pPr>
        <w:spacing w:after="0" w:line="15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Mr. Ruiz continued, “Combining the Mobility Group with Dana creates a strong company that will be well-positioned to serve customers and support employees over the long term. We are proud of our mobility team and what they have built and are confident the combination of talent, capabilities, and technologies will create meaningful value for shareholders, customers, and employees alike.”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82" w:right="379" w:bottom="1440" w:gutter="0" w:footer="0" w:header="0"/>
        </w:sectPr>
      </w:pPr>
    </w:p>
    <w:bookmarkStart w:id="7" w:name="page8"/>
    <w:bookmarkEnd w:id="7"/>
    <w:p>
      <w:pPr>
        <w:ind w:right="20"/>
        <w:spacing w:after="0" w:line="244" w:lineRule="auto"/>
        <w:rPr>
          <w:sz w:val="20"/>
          <w:szCs w:val="20"/>
          <w:color w:val="auto"/>
        </w:rPr>
      </w:pPr>
      <w:r>
        <w:rPr>
          <w:rFonts w:ascii="Arial" w:cs="Arial" w:eastAsia="Arial" w:hAnsi="Arial"/>
          <w:sz w:val="18"/>
          <w:szCs w:val="18"/>
          <w:color w:val="auto"/>
        </w:rPr>
        <w:t>R. Bruce McDonald, Dana Chairman and Chief Executive Officer, stated, “We are excited to bring together Eaton’s Mobility Group with Dana. The addition of Mobility Group’s leading positions in commercial vehicle transmissions, clutches, and power management technologies, combined with Dana’s strengths in axles, driveshafts, electrification, thermal management, and sealing products, will create a truly differentiated global platform. Together, we will be better positioned to serve our customers, invest in innovation, and drive long-term value creation for shareholders of the combined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198"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The transaction values Eaton’s Mobility Group at approximately $5.1 billion. This represents a multiple of 8.3x 2026 estimated pro forma adjusted EBITDA, or 5.9x on a fully synergized basis, including $250 million of run-rate synergies. Eaton shareholders will receive newly issued shares of the combined company such that Eaton shareholders will own at least 50.1% of the combined company’s outstanding shares following the consummation of the transaction. The agreement follows Eaton’s previously announced intent to separate its Mobility Group into an independent, publicly traded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structured as a “Reverse Morris Trust” transaction, where Eaton will first separate its Mobility Group to Eaton shareholders through either an exchange offer (split-off) or a pro rata distribution (spin-off), at Eaton’s election. Immediately thereafter, Dana will merge with a subsidiary of the Mobility Group, with Dana surviving as a wholly owned subsidiary of the Mobility Group. In the event of a split-off, Eaton shareholders would have the opportunity to tender their Eaton shares in exchange for shares of the Mobility subsidiary. In the event of a spin-off, all Eaton shareholders would receive shares of the Mobility subsidiary on a pro rata basis. Eaton will also receive a cash distribution of $1.1 billion prior to completion of the transaction, subject to adjustment for cash and indebtedness, which will be funded by newly-issued debt of the Mobility Group. The transaction is intended to be tax-free for U.S. federal income tax purposes to Eaton and Eaton’s shareholders.</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agreement was unanimously approved by the Eaton board of directors following a comprehensive evaluation of strategic alternatives for its Mobility Group. The agreement was also unanimously approved by the Dana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8" w:name="page9"/>
    <w:bookmarkEnd w:id="8"/>
    <w:p>
      <w:pPr>
        <w:ind w:right="740"/>
        <w:spacing w:after="0" w:line="271" w:lineRule="auto"/>
        <w:rPr>
          <w:sz w:val="20"/>
          <w:szCs w:val="20"/>
          <w:color w:val="auto"/>
        </w:rPr>
      </w:pPr>
      <w:r>
        <w:rPr>
          <w:rFonts w:ascii="Arial" w:cs="Arial" w:eastAsia="Arial" w:hAnsi="Arial"/>
          <w:sz w:val="18"/>
          <w:szCs w:val="18"/>
          <w:color w:val="auto"/>
        </w:rPr>
        <w:t>The transaction is expected to close in the first quarter of 2027, subject to receipt of Dana shareholder approval, receipt of required regulatory clearances, and customary closing conditions.</w:t>
      </w:r>
    </w:p>
    <w:p>
      <w:pPr>
        <w:spacing w:after="0" w:line="14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Byron Foster, Dana’s incoming Chief Executive Officer, and Timothy Kraus, Dana’s current Chief Financial Officer, will lead the combined company as CEO and CFO, respectively. Erin Rowse, Eaton’s current Senior Vice President Human Resources, Industrial, will serve as the combined company’s Chief Human Resources Officer upon close. The combined company’s senior management team will include representatives from both companies and will be announced as integration planning progresses. R. Bruce McDonald, Dana’s current Chairman and Chief Executive Officer, will serve as Executive Chairman of the combined company. Dana's eight-member board of directors will be expanded to include three additional directors designated by Eaton, including one current Eaton executive and two current Eaton directors.</w:t>
      </w:r>
    </w:p>
    <w:p>
      <w:pPr>
        <w:spacing w:after="0" w:line="171" w:lineRule="exact"/>
        <w:rPr>
          <w:sz w:val="20"/>
          <w:szCs w:val="20"/>
          <w:color w:val="auto"/>
        </w:rPr>
      </w:pPr>
    </w:p>
    <w:p>
      <w:pPr>
        <w:ind w:right="700"/>
        <w:spacing w:after="0" w:line="469" w:lineRule="auto"/>
        <w:rPr>
          <w:sz w:val="20"/>
          <w:szCs w:val="20"/>
          <w:color w:val="auto"/>
        </w:rPr>
      </w:pPr>
      <w:r>
        <w:rPr>
          <w:rFonts w:ascii="Arial" w:cs="Arial" w:eastAsia="Arial" w:hAnsi="Arial"/>
          <w:sz w:val="18"/>
          <w:szCs w:val="18"/>
          <w:color w:val="auto"/>
        </w:rPr>
        <w:t xml:space="preserve">The combined company will operate as Dana Incorporated and will continue to be listed on the NYSE under the ticker symbol DAN. In a separate press release and presentation issued today, Dana provided additional details regarding the combination. </w:t>
      </w:r>
      <w:r>
        <w:rPr>
          <w:rFonts w:ascii="Arial" w:cs="Arial" w:eastAsia="Arial" w:hAnsi="Arial"/>
          <w:sz w:val="18"/>
          <w:szCs w:val="18"/>
          <w:b w:val="1"/>
          <w:bCs w:val="1"/>
          <w:color w:val="auto"/>
        </w:rPr>
        <w:t>Advisors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Morgan Stanley &amp; Co. LLC is serving as Eaton’s financial advisor on the transaction and Paul, Weiss, Rifkind, Wharton &amp; Garrison LLP and Hogan Lovells are acting as legal counsel to Eaton. Joele Frank, Wilkinson Brimmer Katcher is serving as Eaton’s strategic communications advisor.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Eaton</w:t>
      </w:r>
    </w:p>
    <w:p>
      <w:pPr>
        <w:spacing w:after="0" w:line="19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Eaton is an intelligent power management company dedicated to protecting the environment and improving the quality of life for people everywhere. We make products for the data center, utility, industrial, commercial and institutional, machine building, residential, aerospace and mobility markets. We are guided by our commitment to do business right, to operate sustainably and to help our customers manage power ─ today and well into the future. By capitalizing on the global growth trends of electrification and digitalization, we’re helping to solve the world’s most urgent power management challenges and building a more sustainable society for people today and generations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82" w:right="439" w:bottom="1440" w:gutter="0" w:footer="0" w:header="0"/>
        </w:sectPr>
      </w:pPr>
    </w:p>
    <w:bookmarkStart w:id="9" w:name="page10"/>
    <w:bookmarkEnd w:id="9"/>
    <w:p>
      <w:pPr>
        <w:ind w:right="120"/>
        <w:spacing w:after="0" w:line="271" w:lineRule="auto"/>
        <w:rPr>
          <w:sz w:val="20"/>
          <w:szCs w:val="20"/>
          <w:color w:val="auto"/>
        </w:rPr>
      </w:pPr>
      <w:r>
        <w:rPr>
          <w:rFonts w:ascii="Arial" w:cs="Arial" w:eastAsia="Arial" w:hAnsi="Arial"/>
          <w:sz w:val="18"/>
          <w:szCs w:val="18"/>
          <w:color w:val="auto"/>
        </w:rPr>
        <w:t>Founded in 1911, Eaton has continuously evolved to meet the changing and expanding needs of our stakeholders. With revenues of $27.4 billion in 2025, the company serves customers in 180 countries. For more information, visit www.eaton.com. Follow us on LinkedIn.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on Forward-Looking Statements</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These forward-looking statements generally are identified by the words “believe,” “project,” “expect,” “anticipate,” “estimate,” “forecast,” “outlook,” “target,”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w:t>
      </w:r>
    </w:p>
    <w:p>
      <w:pPr>
        <w:spacing w:after="0" w:line="17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These forward-looking statements are based on Eaton’s and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82" w:right="459" w:bottom="1440" w:gutter="0" w:footer="0" w:header="0"/>
        </w:sectPr>
      </w:pPr>
    </w:p>
    <w:bookmarkStart w:id="10" w:name="page11"/>
    <w:bookmarkEnd w:id="10"/>
    <w:p>
      <w:pPr>
        <w:spacing w:after="0" w:line="237" w:lineRule="auto"/>
        <w:rPr>
          <w:sz w:val="20"/>
          <w:szCs w:val="20"/>
          <w:color w:val="auto"/>
        </w:rPr>
      </w:pPr>
      <w:r>
        <w:rPr>
          <w:rFonts w:ascii="Arial" w:cs="Arial" w:eastAsia="Arial" w:hAnsi="Arial"/>
          <w:sz w:val="18"/>
          <w:szCs w:val="18"/>
          <w:color w:val="auto"/>
        </w:rPr>
        <w:t>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Eaton’s and Dana’s stock prices; restrictions on the conduct of Eaton’s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Eaton’s and Dana’s reports filed with the Securities and Exchange Commission (the “SEC”), including Eaton’s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16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Any forward-looking statements speak only as of the date of this communication. None of Eaton, Dana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1" w:name="page12"/>
    <w:bookmarkEnd w:id="11"/>
    <w:p>
      <w:pPr>
        <w:ind w:right="320"/>
        <w:spacing w:after="0" w:line="266" w:lineRule="auto"/>
        <w:rPr>
          <w:sz w:val="20"/>
          <w:szCs w:val="20"/>
          <w:color w:val="auto"/>
        </w:rPr>
      </w:pPr>
      <w:r>
        <w:rPr>
          <w:rFonts w:ascii="Arial" w:cs="Arial" w:eastAsia="Arial" w:hAnsi="Arial"/>
          <w:sz w:val="17"/>
          <w:szCs w:val="17"/>
          <w:color w:val="auto"/>
        </w:rPr>
        <w:t>It should also be noted that projected financial information for the combined company is based on management’s estimates, assumptions and projections and has not been prepared in conformance with the applicable accounting requirements of Regulation S-X relating to pro forma financial information, and the required pro forma adjustments have not been applied and are not reflected therein. None of this information should be considered in isolation from, or as a substitute for, the historical financial statements of Dana or SpinCo.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Transaction and Where to Find It</w:t>
      </w:r>
    </w:p>
    <w:p>
      <w:pPr>
        <w:spacing w:after="0" w:line="19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 SEC.</w:t>
      </w:r>
    </w:p>
    <w:p>
      <w:pPr>
        <w:spacing w:after="0" w:line="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9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financial measures presented in accordance with U.S. generally accepted accounting principles (“U.S. GAAP”), this communication includes certain non-GAAP financial measures (collectively, the “Non-GAAP Measures”), such as adjusted EBITDA. 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except for financial guidance and other forward-looking information since such a reconciliation is not practicable without unreasonable effort as Dana is unable to reasonably forecast certain amounts that are necessary for such reconciliation.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Tolhurst</w:t>
      </w:r>
    </w:p>
    <w:p>
      <w:pPr>
        <w:ind w:right="8940" w:firstLine="8"/>
        <w:spacing w:after="0" w:line="250"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523-4006 jennifertolhurst@eaton.com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961390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78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44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2026-06-11T05:42:39Z</dcterms:created>
  <dcterms:modified xsi:type="dcterms:W3CDTF">2026-06-11T05:42:39Z</dcterms:modified>
</cp:coreProperties>
</file>