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1619d425.htm"/>
      <w:bookmarkStart w:id="1" w:name="ksd131619d425"/>
      <w:bookmarkEnd w:id="0"/>
      <w:bookmarkEnd w:id="1"/>
      <w:r>
        <w:rPr>
          <w:rFonts w:ascii="Times New Roman" w:hAnsi="Times New Roman"/>
          <w:b/>
          <w:sz w:val="20"/>
        </w:rPr>
        <w:t xml:space="preserve">Filed by Dana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 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Dana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001-01063 </w:t>
      </w:r>
    </w:p>
    <w:p>
      <w:pPr>
        <w:pStyle w:val="TextBody"/>
        <w:bidi w:val="0"/>
        <w:spacing w:before="0" w:after="0"/>
        <w:jc w:val="right"/>
        <w:rPr>
          <w:rFonts w:ascii="Times New Roman" w:hAnsi="Times New Roman"/>
          <w:b/>
          <w:sz w:val="20"/>
        </w:rPr>
      </w:pPr>
      <w:r>
        <w:rPr>
          <w:rFonts w:ascii="Times New Roman" w:hAnsi="Times New Roman"/>
          <w:b/>
          <w:sz w:val="20"/>
        </w:rPr>
        <w:t xml:space="preserve">Date: August 13,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materials were presented by Dana Incorporated (“Dana”) at the J.P. Morgan Auto Conference on August 13, 2026, and include information regarding the proposed business combination between Dana and Mobility (USA) Corporation, a wholly owned subsidiary of Eaton Corporation plc. </w:t>
      </w:r>
    </w:p>
    <w:p>
      <w:pPr>
        <w:pStyle w:val="TextBody"/>
        <w:bidi w:val="0"/>
        <w:spacing w:before="0" w:after="0"/>
        <w:jc w:val="left"/>
        <w:rPr/>
      </w:pPr>
      <w:r>
        <w:rPr/>
        <w:t> </w:t>
      </w:r>
    </w:p>
    <w:p>
      <w:pPr>
        <w:pStyle w:val="TextBody"/>
        <w:bidi w:val="0"/>
        <w:spacing w:before="0" w:after="0"/>
        <w:jc w:val="center"/>
        <w:rPr/>
      </w:pPr>
      <w:r>
        <w:rPr/>
        <w:drawing>
          <wp:inline distT="0" distB="0" distL="0" distR="0">
            <wp:extent cx="6858000" cy="3857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7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858000" cy="385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7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858000" cy="385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7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858000" cy="3857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7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858000" cy="3857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7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858000" cy="386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671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Cautionary Notes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as well as statements regarding Dana’s business, financial condition and results of operations more generally. These forward-looking statements generally are identified by the words “believe,” “project,” “expect,” “anticipate,” “estimate,” “forecast,” “outlook,” “target,” “endeavor,” “seek,” “predict,” “intend,” “strategy,” “plan,” “may,” “could,” “should,” “will,” “would,” “potential,” “continue,” “ongoing,” or the negative thereof or variations thereon or similar terminology generally intended to identify forward-looking statements. All statements, other than historical facts, including, but not limited to, statements regarding Dana’s current expectations, estimates and projections about its industry and business,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Dana’s current expectations and are subject to risks and uncertainties and are not guarantees of future results.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proposed transaction on Dana’s stock price; restrictions on the conduct of Dana’s business prior to and after closing and on its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Dana’s reports filed with the Securities and Exchange Commission (the “SEC”), including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Important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Note Regarding 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measures presented in accordance with U.S. generally accepted accounting principles (“U.S. GAAP”), this communication includes certain non-GAAP financial measures (collectively, the “Non-GAAP Measures”), such as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a non-GAAP financial measure which we have defined as net income (loss) before interest, income taxes, depreciation, amortization, equity grant expense, restructuring expense, expenses related to the acquisition of the Eaton Mobility business, non-service cost components of pension and other postretirement benefit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is a non-GAAP financial measure which we have defined as net cash provided by (used in) operating activities less purchases of property, plant and equipment plus proceeds from sale of property, plant and equipment plus cash paid for Off-Highway business divestiture related activities and cash paid for Eaton Mobility acquisition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(used in) operating activities reported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and/or the accompanying financial information, except for financial guidance, projections and other forward-looking information since such a reconciliation is not practicable without unreasonable effort as Dana is unable to reasonably forecast certain amounts that are necessary for such reconciliation. For example, we have not provided a reconciliation of our adjusted EBITDA outlook to the most comparable GAAP measures of net income (loss). Providing net income (loss) guidance is potentially misleading and not practical given the difficulty of projecting event-driven transactional and other non-core operating items that are included in net income (loss),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2173</Words>
  <Characters>12543</Characters>
  <CharactersWithSpaces>14743</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