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dan20260930_10q.htm"/>
      <w:bookmarkStart w:id="1" w:name="ksdan20260930_10q"/>
      <w:bookmarkEnd w:id="0"/>
      <w:bookmarkEnd w:id="1"/>
      <w:r>
        <w:t xml:space="preserve">  </w:t>
      </w:r>
    </w:p>
    <w:p>
      <w:pPr>
        <w:pStyle w:val="TextBody"/>
        <w:bidi w:val="0"/>
        <w:spacing w:before="0" w:after="0"/>
        <w:ind w:left="0" w:right="0" w:hanging="0"/>
        <w:jc w:val="left"/>
      </w:pPr>
      <w:r>
        <w:t> </w:t>
      </w:r>
    </w:p>
    <w:p>
      <w:pPr>
        <w:pStyle w:val="TextBody"/>
        <w:bidi w:val="0"/>
        <w:spacing w:before="0" w:after="0"/>
        <w:ind w:left="0" w:right="0" w:hanging="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0"/>
        <w:ind w:left="0" w:right="0" w:hanging="0"/>
        <w:jc w:val="center"/>
        <w:rPr>
          <w:rFonts w:ascii="Times New Roman;Times;serif" w:hAnsi="Times New Roman;Times;serif"/>
          <w:color w:val="000000"/>
          <w:sz w:val="32"/>
        </w:rPr>
      </w:pPr>
      <w:r>
        <w:rPr>
          <w:rFonts w:ascii="Times New Roman;Times;serif" w:hAnsi="Times New Roman;Times;serif"/>
          <w:b/>
          <w:color w:val="000000"/>
          <w:sz w:val="32"/>
        </w:rPr>
        <w:t>Form 10-Q</w:t>
      </w:r>
      <w:r>
        <w:rPr>
          <w:rFonts w:ascii="Times New Roman;Times;serif" w:hAnsi="Times New Roman;Times;serif"/>
          <w:color w:val="000000"/>
          <w:sz w:val="32"/>
        </w:rPr>
        <w:t xml:space="preserve"> </w:t>
      </w:r>
    </w:p>
    <w:p>
      <w:pPr>
        <w:pStyle w:val="TextBody"/>
        <w:bidi w:val="0"/>
        <w:spacing w:before="0" w:after="0"/>
        <w:ind w:left="0" w:right="0" w:hanging="0"/>
        <w:jc w:val="center"/>
      </w:pPr>
      <w:r>
        <w:t> </w:t>
      </w:r>
    </w:p>
    <w:tbl>
      <w:tblPr>
        <w:tblW w:w="7705" w:type="dxa"/>
        <w:jc w:val="left"/>
        <w:tblInd w:w="0" w:type="dxa"/>
        <w:tblLayout w:type="fixed"/>
        <w:tblCellMar>
          <w:top w:w="0" w:type="dxa"/>
          <w:left w:w="0" w:type="dxa"/>
          <w:bottom w:w="0" w:type="dxa"/>
          <w:right w:w="0" w:type="dxa"/>
        </w:tblCellMar>
      </w:tblPr>
      <w:tblGrid>
        <w:gridCol w:w="230"/>
        <w:gridCol w:w="7475"/>
      </w:tblGrid>
      <w:tr>
        <w:tc>
          <w:tcPr>
            <w:tcW w:w="230" w:type="dxa"/>
            <w:tcBorders/>
            <w:vAlign w:val="center"/>
          </w:tcPr>
          <w:p>
            <w:pPr>
              <w:pStyle w:val="TableContents"/>
              <w:bidi w:val="0"/>
              <w:spacing w:before="0" w:after="0"/>
              <w:ind w:left="0" w:right="0" w:hanging="0"/>
              <w:jc w:val="left"/>
            </w:pPr>
            <w:r>
              <w:t>☑</w:t>
            </w:r>
          </w:p>
        </w:tc>
        <w:tc>
          <w:tcPr>
            <w:tcW w:w="74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sz w:val="20"/>
        </w:rPr>
        <w:t>For the quarterly period ended:</w:t>
      </w:r>
      <w:r>
        <w:rPr>
          <w:rFonts w:ascii="Times New Roman;Times;serif" w:hAnsi="Times New Roman;Times;serif"/>
          <w:sz w:val="20"/>
        </w:rPr>
        <w:t xml:space="preserve"> </w:t>
      </w:r>
      <w:r>
        <w:rPr>
          <w:rFonts w:ascii="Times New Roman;Times;serif" w:hAnsi="Times New Roman;Times;serif"/>
          <w:b/>
          <w:sz w:val="20"/>
        </w:rPr>
        <w:t>September 30, 2026</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OR</w:t>
      </w:r>
    </w:p>
    <w:tbl>
      <w:tblPr>
        <w:tblW w:w="7765" w:type="dxa"/>
        <w:jc w:val="left"/>
        <w:tblInd w:w="0" w:type="dxa"/>
        <w:tblLayout w:type="fixed"/>
        <w:tblCellMar>
          <w:top w:w="0" w:type="dxa"/>
          <w:left w:w="0" w:type="dxa"/>
          <w:bottom w:w="0" w:type="dxa"/>
          <w:right w:w="0" w:type="dxa"/>
        </w:tblCellMar>
      </w:tblPr>
      <w:tblGrid>
        <w:gridCol w:w="290"/>
        <w:gridCol w:w="7475"/>
      </w:tblGrid>
      <w:tr>
        <w:tc>
          <w:tcPr>
            <w:tcW w:w="290" w:type="dxa"/>
            <w:tcBorders/>
            <w:vAlign w:val="center"/>
          </w:tcPr>
          <w:p>
            <w:pPr>
              <w:pStyle w:val="TableContents"/>
              <w:bidi w:val="0"/>
              <w:spacing w:before="0" w:after="0"/>
              <w:ind w:left="0" w:right="0" w:hanging="0"/>
              <w:jc w:val="left"/>
            </w:pPr>
            <w:r>
              <w:t xml:space="preserve">☐ </w:t>
            </w:r>
          </w:p>
        </w:tc>
        <w:tc>
          <w:tcPr>
            <w:tcW w:w="74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 File Number: 1-1063</w:t>
      </w:r>
      <w:r>
        <w:rPr>
          <w:rFonts w:ascii="Times New Roman;Times;serif" w:hAnsi="Times New Roman;Times;serif"/>
          <w:sz w:val="20"/>
        </w:rPr>
        <w:t xml:space="preserve"> </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Dana Incorporated</w:t>
      </w:r>
    </w:p>
    <w:p>
      <w:pPr>
        <w:pStyle w:val="TextBody"/>
        <w:bidi w:val="0"/>
        <w:spacing w:before="0" w:after="0"/>
        <w:ind w:left="0" w:right="0" w:hanging="0"/>
        <w:jc w:val="center"/>
        <w:rPr>
          <w:rFonts w:ascii="Times New Roman" w:hAnsi="Times New Roman"/>
          <w:i/>
          <w:sz w:val="18"/>
        </w:rPr>
      </w:pPr>
      <w:r>
        <w:rPr>
          <w:rFonts w:ascii="Times New Roman" w:hAnsi="Times New Roman"/>
          <w:i/>
          <w:sz w:val="18"/>
        </w:rPr>
        <w:t>(Exact name of registrant as specified in its charter)</w:t>
      </w:r>
    </w:p>
    <w:p>
      <w:pPr>
        <w:pStyle w:val="TextBody"/>
        <w:bidi w:val="0"/>
        <w:spacing w:before="0" w:after="0"/>
        <w:ind w:left="0" w:right="0" w:hanging="0"/>
        <w:jc w:val="center"/>
      </w:pPr>
      <w:r>
        <w:t>  </w:t>
      </w:r>
    </w:p>
    <w:tbl>
      <w:tblPr>
        <w:tblW w:w="5170" w:type="dxa"/>
        <w:jc w:val="left"/>
        <w:tblInd w:w="0" w:type="dxa"/>
        <w:tblLayout w:type="fixed"/>
        <w:tblCellMar>
          <w:top w:w="0" w:type="dxa"/>
          <w:left w:w="0" w:type="dxa"/>
          <w:bottom w:w="28" w:type="dxa"/>
          <w:right w:w="0" w:type="dxa"/>
        </w:tblCellMar>
      </w:tblPr>
      <w:tblGrid>
        <w:gridCol w:w="1985"/>
        <w:gridCol w:w="60"/>
        <w:gridCol w:w="3125"/>
      </w:tblGrid>
      <w:tr>
        <w:tc>
          <w:tcPr>
            <w:tcW w:w="198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0"/>
              <w:ind w:left="0" w:right="0" w:hanging="0"/>
              <w:jc w:val="left"/>
            </w:pPr>
            <w:r>
              <w:t> </w:t>
            </w:r>
          </w:p>
        </w:tc>
        <w:tc>
          <w:tcPr>
            <w:tcW w:w="31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26-1531856</w:t>
            </w:r>
          </w:p>
        </w:tc>
      </w:tr>
      <w:tr>
        <w:tc>
          <w:tcPr>
            <w:tcW w:w="198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(State of incorporation)</w:t>
            </w:r>
          </w:p>
        </w:tc>
        <w:tc>
          <w:tcPr>
            <w:tcW w:w="60" w:type="dxa"/>
            <w:tcBorders/>
            <w:tcMar>
              <w:bottom w:w="0" w:type="dxa"/>
            </w:tcMar>
            <w:vAlign w:val="center"/>
          </w:tcPr>
          <w:p>
            <w:pPr>
              <w:pStyle w:val="TableContents"/>
              <w:bidi w:val="0"/>
              <w:spacing w:before="0" w:after="0"/>
              <w:ind w:left="0" w:right="0" w:hanging="0"/>
              <w:jc w:val="left"/>
            </w:pPr>
            <w:r>
              <w:t> </w:t>
            </w:r>
          </w:p>
        </w:tc>
        <w:tc>
          <w:tcPr>
            <w:tcW w:w="312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(IRS Employer Identification Number)</w:t>
            </w:r>
          </w:p>
        </w:tc>
      </w:tr>
    </w:tbl>
    <w:p>
      <w:pPr>
        <w:pStyle w:val="TextBody"/>
        <w:bidi w:val="0"/>
        <w:spacing w:before="0" w:after="283"/>
        <w:jc w:val="left"/>
      </w:pPr>
      <w:r>
        <w:t> </w:t>
      </w:r>
    </w:p>
    <w:tbl>
      <w:tblPr>
        <w:tblW w:w="4210" w:type="dxa"/>
        <w:jc w:val="left"/>
        <w:tblInd w:w="0" w:type="dxa"/>
        <w:tblLayout w:type="fixed"/>
        <w:tblCellMar>
          <w:top w:w="0" w:type="dxa"/>
          <w:left w:w="0" w:type="dxa"/>
          <w:bottom w:w="28" w:type="dxa"/>
          <w:right w:w="0" w:type="dxa"/>
        </w:tblCellMar>
      </w:tblPr>
      <w:tblGrid>
        <w:gridCol w:w="3245"/>
        <w:gridCol w:w="60"/>
        <w:gridCol w:w="905"/>
      </w:tblGrid>
      <w:tr>
        <w:tc>
          <w:tcPr>
            <w:tcW w:w="32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3939 Technology Drive, Maumee, OH</w:t>
            </w:r>
          </w:p>
        </w:tc>
        <w:tc>
          <w:tcPr>
            <w:tcW w:w="60" w:type="dxa"/>
            <w:tcBorders/>
            <w:tcMar>
              <w:bottom w:w="0" w:type="dxa"/>
            </w:tcMar>
            <w:vAlign w:val="center"/>
          </w:tcPr>
          <w:p>
            <w:pPr>
              <w:pStyle w:val="TableContents"/>
              <w:bidi w:val="0"/>
              <w:spacing w:before="0" w:after="0"/>
              <w:ind w:left="0" w:right="0" w:hanging="0"/>
              <w:jc w:val="left"/>
            </w:pPr>
            <w: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43537</w:t>
            </w:r>
          </w:p>
        </w:tc>
      </w:tr>
      <w:tr>
        <w:tc>
          <w:tcPr>
            <w:tcW w:w="324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pPr>
            <w:r>
              <w:t> </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(Zip Code)</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(419) 887-3000</w:t>
      </w:r>
      <w:r>
        <w:rPr>
          <w:rFonts w:ascii="Times New Roman;Times;serif" w:hAnsi="Times New Roman;Times;serif"/>
          <w:sz w:val="20"/>
        </w:rP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7545" w:type="dxa"/>
        <w:jc w:val="left"/>
        <w:tblInd w:w="0" w:type="dxa"/>
        <w:tblLayout w:type="fixed"/>
        <w:tblCellMar>
          <w:top w:w="0" w:type="dxa"/>
          <w:left w:w="0" w:type="dxa"/>
          <w:bottom w:w="28" w:type="dxa"/>
          <w:right w:w="0" w:type="dxa"/>
        </w:tblCellMar>
      </w:tblPr>
      <w:tblGrid>
        <w:gridCol w:w="2660"/>
        <w:gridCol w:w="60"/>
        <w:gridCol w:w="1445"/>
        <w:gridCol w:w="60"/>
        <w:gridCol w:w="3320"/>
      </w:tblGrid>
      <w:tr>
        <w:tc>
          <w:tcPr>
            <w:tcW w:w="26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60" w:type="dxa"/>
            <w:tcBorders/>
            <w:tcMar>
              <w:bottom w:w="0" w:type="dxa"/>
            </w:tcMar>
            <w:vAlign w:val="center"/>
          </w:tcPr>
          <w:p>
            <w:pPr>
              <w:pStyle w:val="TableContents"/>
              <w:bidi w:val="0"/>
              <w:spacing w:before="0" w:after="0"/>
              <w:ind w:left="0" w:right="0" w:hanging="0"/>
              <w:jc w:val="left"/>
            </w:pPr>
            <w:r>
              <w:t> </w:t>
            </w:r>
          </w:p>
        </w:tc>
        <w:tc>
          <w:tcPr>
            <w:tcW w:w="14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w:t>
            </w:r>
          </w:p>
        </w:tc>
        <w:tc>
          <w:tcPr>
            <w:tcW w:w="60" w:type="dxa"/>
            <w:tcBorders/>
            <w:tcMar>
              <w:bottom w:w="0" w:type="dxa"/>
            </w:tcMar>
            <w:vAlign w:val="center"/>
          </w:tcPr>
          <w:p>
            <w:pPr>
              <w:pStyle w:val="TableContents"/>
              <w:bidi w:val="0"/>
              <w:spacing w:before="0" w:after="0"/>
              <w:ind w:left="0" w:right="0" w:hanging="0"/>
              <w:jc w:val="left"/>
            </w:pPr>
            <w:r>
              <w:t> </w:t>
            </w:r>
          </w:p>
        </w:tc>
        <w:tc>
          <w:tcPr>
            <w:tcW w:w="33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pPr>
            <w:r>
              <w:t> </w:t>
            </w:r>
          </w:p>
        </w:tc>
        <w:tc>
          <w:tcPr>
            <w:tcW w:w="144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0"/>
              <w:ind w:left="0" w:right="0" w:hanging="0"/>
              <w:jc w:val="left"/>
            </w:pPr>
            <w:r>
              <w:t> </w:t>
            </w:r>
          </w:p>
        </w:tc>
        <w:tc>
          <w:tcPr>
            <w:tcW w:w="332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bl>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pPr>
      <w:r>
        <w:t> </w:t>
      </w:r>
    </w:p>
    <w:tbl>
      <w:tblPr>
        <w:tblW w:w="4625" w:type="dxa"/>
        <w:jc w:val="left"/>
        <w:tblInd w:w="0" w:type="dxa"/>
        <w:tblLayout w:type="fixed"/>
        <w:tblCellMar>
          <w:top w:w="0" w:type="dxa"/>
          <w:left w:w="0" w:type="dxa"/>
          <w:bottom w:w="0" w:type="dxa"/>
          <w:right w:w="0" w:type="dxa"/>
        </w:tblCellMar>
      </w:tblPr>
      <w:tblGrid>
        <w:gridCol w:w="1820"/>
        <w:gridCol w:w="230"/>
        <w:gridCol w:w="60"/>
        <w:gridCol w:w="60"/>
        <w:gridCol w:w="2225"/>
        <w:gridCol w:w="230"/>
      </w:tblGrid>
      <w:t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pPr>
            <w:r>
              <w:t>☑</w:t>
            </w:r>
          </w:p>
        </w:tc>
        <w:tc>
          <w:tcPr>
            <w:tcW w:w="6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0"/>
              <w:ind w:left="0" w:right="0" w:hanging="0"/>
              <w:jc w:val="left"/>
            </w:pPr>
            <w:r>
              <w:t>☐</w:t>
            </w:r>
          </w:p>
        </w:tc>
      </w:tr>
      <w:t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0"/>
              <w:ind w:left="0" w:right="0" w:hanging="0"/>
              <w:jc w:val="left"/>
            </w:pPr>
            <w:r>
              <w:t>☐</w:t>
            </w:r>
          </w:p>
        </w:tc>
        <w:tc>
          <w:tcPr>
            <w:tcW w:w="120" w:type="dxa"/>
            <w:gridSpan w:val="2"/>
            <w:tcBorders/>
            <w:vAlign w:val="center"/>
          </w:tcPr>
          <w:p>
            <w:pPr>
              <w:pStyle w:val="TableContents"/>
              <w:bidi w:val="0"/>
              <w:spacing w:before="0" w:after="0"/>
              <w:ind w:left="0" w:right="0" w:hanging="0"/>
              <w:jc w:val="left"/>
            </w:pPr>
            <w: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pPr>
            <w:r>
              <w:t>☐</w:t>
            </w:r>
          </w:p>
        </w:tc>
      </w:tr>
      <w:tr>
        <w:tc>
          <w:tcPr>
            <w:tcW w:w="1820" w:type="dxa"/>
            <w:tcBorders/>
            <w:vAlign w:val="center"/>
          </w:tcPr>
          <w:p>
            <w:pPr>
              <w:pStyle w:val="TableContents"/>
              <w:bidi w:val="0"/>
              <w:spacing w:before="0" w:after="0"/>
              <w:ind w:left="0" w:right="0" w:hanging="0"/>
              <w:jc w:val="left"/>
            </w:pPr>
            <w:r>
              <w:t> </w:t>
            </w:r>
          </w:p>
        </w:tc>
        <w:tc>
          <w:tcPr>
            <w:tcW w:w="23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pPr>
            <w:r>
              <w:t>☐</w:t>
            </w:r>
          </w:p>
        </w:tc>
      </w:tr>
    </w:tbl>
    <w:p>
      <w:pPr>
        <w:pStyle w:val="TextBody"/>
        <w:bidi w:val="0"/>
        <w:spacing w:before="0" w:after="0"/>
        <w:ind w:left="0" w:right="0" w:hanging="0"/>
        <w:jc w:val="left"/>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Act).   Yes  ☐    No  ☑</w:t>
      </w:r>
    </w:p>
    <w:p>
      <w:pPr>
        <w:pStyle w:val="TextBody"/>
        <w:bidi w:val="0"/>
        <w:spacing w:before="0" w:after="0"/>
        <w:ind w:left="0" w:right="0" w:hanging="0"/>
        <w:jc w:val="both"/>
      </w:pPr>
      <w: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There</w:t>
      </w:r>
      <w:r>
        <w:rPr>
          <w:rFonts w:ascii="Times New Roman;Times;serif" w:hAnsi="Times New Roman;Times;serif"/>
          <w:sz w:val="20"/>
        </w:rPr>
        <w:t xml:space="preserve"> were 97,527,017 shares of the registrant’s common stock outstanding at October 30, 2026.</w:t>
      </w:r>
    </w:p>
    <w:p>
      <w:pPr>
        <w:pStyle w:val="TextBody"/>
        <w:bidi w:val="0"/>
        <w:spacing w:before="0" w:after="0"/>
        <w:ind w:left="0" w:right="0" w:hanging="0"/>
        <w:jc w:val="center"/>
      </w:pPr>
      <w:r>
        <w:t> </w:t>
      </w:r>
    </w:p>
    <w:p>
      <w:pPr>
        <w:pStyle w:val="TextBody"/>
        <w:bidi w:val="0"/>
        <w:spacing w:before="0" w:after="0"/>
        <w:ind w:left="0" w:right="0" w:hanging="0"/>
        <w:jc w:val="center"/>
      </w:pPr>
      <w:r>
        <w:t xml:space="preserve">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DANA INCORPORATED –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2026</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pPr>
      <w:r>
        <w:t> </w:t>
      </w:r>
    </w:p>
    <w:tbl>
      <w:tblPr>
        <w:tblW w:w="8880" w:type="dxa"/>
        <w:jc w:val="left"/>
        <w:tblInd w:w="0" w:type="dxa"/>
        <w:tblLayout w:type="fixed"/>
        <w:tblCellMar>
          <w:top w:w="0" w:type="dxa"/>
          <w:left w:w="0" w:type="dxa"/>
          <w:bottom w:w="0" w:type="dxa"/>
          <w:right w:w="0" w:type="dxa"/>
        </w:tblCellMar>
      </w:tblPr>
      <w:tblGrid>
        <w:gridCol w:w="665"/>
        <w:gridCol w:w="7280"/>
        <w:gridCol w:w="935"/>
      </w:tblGrid>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 Pages</w:t>
            </w:r>
          </w:p>
        </w:tc>
      </w:tr>
      <w:tr>
        <w:tc>
          <w:tcPr>
            <w:tcW w:w="7945" w:type="dxa"/>
            <w:gridSpan w:val="2"/>
            <w:tcBorders/>
            <w:vAlign w:val="center"/>
          </w:tcPr>
          <w:p>
            <w:pPr>
              <w:pStyle w:val="TableContents"/>
              <w:bidi w:val="0"/>
              <w:spacing w:before="0" w:after="0"/>
              <w:ind w:left="0" w:right="0" w:hanging="0"/>
              <w:jc w:val="left"/>
            </w:pPr>
            <w:hyperlink w:anchor="parti">
              <w:r>
                <w:rPr>
                  <w:rStyle w:val="InternetLink"/>
                  <w:rFonts w:ascii="Times New Roman;Times;serif" w:hAnsi="Times New Roman;Times;serif"/>
                  <w:b/>
                  <w:sz w:val="20"/>
                </w:rPr>
                <w:t>PART I – FINANCIAL INFORMATION</w:t>
              </w:r>
            </w:hyperlink>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pPr>
            <w:hyperlink w:anchor="parti">
              <w:r>
                <w:rPr>
                  <w:rStyle w:val="InternetLink"/>
                  <w:rFonts w:ascii="Times New Roman;Times;serif" w:hAnsi="Times New Roman;Times;serif"/>
                  <w:sz w:val="20"/>
                </w:rPr>
                <w:t>Financial Statements</w:t>
              </w:r>
            </w:hyperlink>
          </w:p>
        </w:tc>
        <w:tc>
          <w:tcPr>
            <w:tcW w:w="935" w:type="dxa"/>
            <w:tcBorders/>
            <w:vAlign w:val="center"/>
          </w:tcPr>
          <w:p>
            <w:pPr>
              <w:pStyle w:val="TableContents"/>
              <w:bidi w:val="0"/>
              <w:spacing w:before="0" w:after="0"/>
              <w:ind w:left="0" w:right="0" w:hanging="0"/>
              <w:jc w:val="center"/>
            </w:pPr>
            <w:hyperlink w:anchor="parti">
              <w:r>
                <w:rPr>
                  <w:rStyle w:val="InternetLink"/>
                  <w:rFonts w:ascii="Times New Roman;Times;serif" w:hAnsi="Times New Roman;Times;serif"/>
                  <w:sz w:val="20"/>
                </w:rPr>
                <w:t>3</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hyperlink w:anchor="parti">
              <w:r>
                <w:rPr>
                  <w:rStyle w:val="InternetLink"/>
                  <w:rFonts w:ascii="Times New Roman;Times;serif" w:hAnsi="Times New Roman;Times;serif"/>
                  <w:sz w:val="20"/>
                </w:rPr>
                <w:t>Consolidated Statement of Operations (Unaudited)</w:t>
              </w:r>
            </w:hyperlink>
          </w:p>
        </w:tc>
        <w:tc>
          <w:tcPr>
            <w:tcW w:w="935" w:type="dxa"/>
            <w:tcBorders/>
            <w:vAlign w:val="center"/>
          </w:tcPr>
          <w:p>
            <w:pPr>
              <w:pStyle w:val="TableContents"/>
              <w:bidi w:val="0"/>
              <w:spacing w:before="0" w:after="0"/>
              <w:ind w:left="0" w:right="0" w:hanging="0"/>
              <w:jc w:val="center"/>
            </w:pPr>
            <w:hyperlink w:anchor="parti">
              <w:r>
                <w:rPr>
                  <w:rStyle w:val="InternetLink"/>
                  <w:rFonts w:ascii="Times New Roman;Times;serif" w:hAnsi="Times New Roman;Times;serif"/>
                  <w:sz w:val="20"/>
                </w:rPr>
                <w:t>3</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hyperlink w:anchor="compinc">
              <w:r>
                <w:rPr>
                  <w:rStyle w:val="InternetLink"/>
                  <w:rFonts w:ascii="Times New Roman;Times;serif" w:hAnsi="Times New Roman;Times;serif"/>
                  <w:sz w:val="20"/>
                </w:rPr>
                <w:t>Consolidated Statement of Comprehensive Income (Unaudited)</w:t>
              </w:r>
            </w:hyperlink>
          </w:p>
        </w:tc>
        <w:tc>
          <w:tcPr>
            <w:tcW w:w="935" w:type="dxa"/>
            <w:tcBorders/>
            <w:vAlign w:val="center"/>
          </w:tcPr>
          <w:p>
            <w:pPr>
              <w:pStyle w:val="TableContents"/>
              <w:bidi w:val="0"/>
              <w:spacing w:before="0" w:after="0"/>
              <w:ind w:left="0" w:right="0" w:hanging="0"/>
              <w:jc w:val="center"/>
            </w:pPr>
            <w:hyperlink w:anchor="compinc">
              <w:r>
                <w:rPr>
                  <w:rStyle w:val="InternetLink"/>
                  <w:rFonts w:ascii="Times New Roman;Times;serif" w:hAnsi="Times New Roman;Times;serif"/>
                  <w:sz w:val="20"/>
                </w:rPr>
                <w:t>4</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hyperlink w:anchor="bal">
              <w:r>
                <w:rPr>
                  <w:rStyle w:val="InternetLink"/>
                  <w:rFonts w:ascii="Times New Roman;Times;serif" w:hAnsi="Times New Roman;Times;serif"/>
                  <w:sz w:val="20"/>
                </w:rPr>
                <w:t>Consolidated Balance Sheet (Unaudited)</w:t>
              </w:r>
            </w:hyperlink>
          </w:p>
        </w:tc>
        <w:tc>
          <w:tcPr>
            <w:tcW w:w="935" w:type="dxa"/>
            <w:tcBorders/>
            <w:vAlign w:val="center"/>
          </w:tcPr>
          <w:p>
            <w:pPr>
              <w:pStyle w:val="TableContents"/>
              <w:bidi w:val="0"/>
              <w:spacing w:before="0" w:after="0"/>
              <w:ind w:left="0" w:right="0" w:hanging="0"/>
              <w:jc w:val="center"/>
            </w:pPr>
            <w:hyperlink w:anchor="bal">
              <w:r>
                <w:rPr>
                  <w:rStyle w:val="InternetLink"/>
                  <w:rFonts w:ascii="Times New Roman;Times;serif" w:hAnsi="Times New Roman;Times;serif"/>
                  <w:sz w:val="20"/>
                </w:rPr>
                <w:t>5</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hyperlink w:anchor="cashflow">
              <w:r>
                <w:rPr>
                  <w:rStyle w:val="InternetLink"/>
                  <w:rFonts w:ascii="Times New Roman;Times;serif" w:hAnsi="Times New Roman;Times;serif"/>
                  <w:sz w:val="20"/>
                </w:rPr>
                <w:t>Consolidated Statement of Cash Flows (Unaudited)</w:t>
              </w:r>
            </w:hyperlink>
          </w:p>
        </w:tc>
        <w:tc>
          <w:tcPr>
            <w:tcW w:w="935" w:type="dxa"/>
            <w:tcBorders/>
            <w:vAlign w:val="center"/>
          </w:tcPr>
          <w:p>
            <w:pPr>
              <w:pStyle w:val="TableContents"/>
              <w:bidi w:val="0"/>
              <w:spacing w:before="0" w:after="0"/>
              <w:ind w:left="0" w:right="0" w:hanging="0"/>
              <w:jc w:val="center"/>
            </w:pPr>
            <w:hyperlink w:anchor="cashflow">
              <w:r>
                <w:rPr>
                  <w:rStyle w:val="InternetLink"/>
                  <w:rFonts w:ascii="Times New Roman;Times;serif" w:hAnsi="Times New Roman;Times;serif"/>
                  <w:sz w:val="20"/>
                </w:rPr>
                <w:t>6</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hyperlink w:anchor="notes">
              <w:r>
                <w:rPr>
                  <w:rStyle w:val="InternetLink"/>
                  <w:rFonts w:ascii="Times New Roman;Times;serif" w:hAnsi="Times New Roman;Times;serif"/>
                  <w:sz w:val="20"/>
                </w:rPr>
                <w:t>Notes to Consolidated Financial Statements (Unaudited)</w:t>
              </w:r>
            </w:hyperlink>
          </w:p>
        </w:tc>
        <w:tc>
          <w:tcPr>
            <w:tcW w:w="935" w:type="dxa"/>
            <w:tcBorders/>
            <w:vAlign w:val="center"/>
          </w:tcPr>
          <w:p>
            <w:pPr>
              <w:pStyle w:val="TableContents"/>
              <w:bidi w:val="0"/>
              <w:spacing w:before="0" w:after="0"/>
              <w:ind w:left="0" w:right="0" w:hanging="0"/>
              <w:jc w:val="center"/>
            </w:pPr>
            <w:hyperlink w:anchor="notes">
              <w:r>
                <w:rPr>
                  <w:rStyle w:val="InternetLink"/>
                  <w:rFonts w:ascii="Times New Roman;Times;serif" w:hAnsi="Times New Roman;Times;serif"/>
                  <w:sz w:val="20"/>
                </w:rPr>
                <w:t>7</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pPr>
            <w:hyperlink w:anchor="item2">
              <w:r>
                <w:rPr>
                  <w:rStyle w:val="InternetLink"/>
                  <w:rFonts w:ascii="Times New Roman;Times;serif" w:hAnsi="Times New Roman;Times;serif"/>
                  <w:sz w:val="20"/>
                </w:rPr>
                <w:t>Management’s Discussion and Analysis of Financial Condition and Results of Operations</w:t>
              </w:r>
            </w:hyperlink>
          </w:p>
        </w:tc>
        <w:tc>
          <w:tcPr>
            <w:tcW w:w="935" w:type="dxa"/>
            <w:tcBorders/>
            <w:vAlign w:val="center"/>
          </w:tcPr>
          <w:p>
            <w:pPr>
              <w:pStyle w:val="TableContents"/>
              <w:bidi w:val="0"/>
              <w:spacing w:before="0" w:after="0"/>
              <w:ind w:left="0" w:right="0" w:hanging="0"/>
              <w:jc w:val="center"/>
            </w:pPr>
            <w:hyperlink w:anchor="item2">
              <w:r>
                <w:rPr>
                  <w:rStyle w:val="InternetLink"/>
                  <w:rFonts w:ascii="Times New Roman;Times;serif" w:hAnsi="Times New Roman;Times;serif"/>
                  <w:sz w:val="20"/>
                </w:rPr>
                <w:t>30</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pPr>
            <w:hyperlink w:anchor="item3">
              <w:r>
                <w:rPr>
                  <w:rStyle w:val="InternetLink"/>
                  <w:rFonts w:ascii="Times New Roman;Times;serif" w:hAnsi="Times New Roman;Times;serif"/>
                  <w:sz w:val="20"/>
                </w:rPr>
                <w:t>Quantitative and Qualitative Disclosures About Market Risk</w:t>
              </w:r>
            </w:hyperlink>
          </w:p>
        </w:tc>
        <w:tc>
          <w:tcPr>
            <w:tcW w:w="935" w:type="dxa"/>
            <w:tcBorders/>
            <w:vAlign w:val="center"/>
          </w:tcPr>
          <w:p>
            <w:pPr>
              <w:pStyle w:val="TableContents"/>
              <w:bidi w:val="0"/>
              <w:spacing w:before="0" w:after="0"/>
              <w:ind w:left="0" w:right="0" w:hanging="0"/>
              <w:jc w:val="center"/>
            </w:pPr>
            <w:hyperlink w:anchor="item3">
              <w:r>
                <w:rPr>
                  <w:rStyle w:val="InternetLink"/>
                  <w:rFonts w:ascii="Times New Roman;Times;serif" w:hAnsi="Times New Roman;Times;serif"/>
                  <w:sz w:val="20"/>
                </w:rPr>
                <w:t>44</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pPr>
            <w:hyperlink w:anchor="item4">
              <w:r>
                <w:rPr>
                  <w:rStyle w:val="InternetLink"/>
                  <w:rFonts w:ascii="Times New Roman;Times;serif" w:hAnsi="Times New Roman;Times;serif"/>
                  <w:sz w:val="20"/>
                </w:rPr>
                <w:t>Controls and Procedures</w:t>
              </w:r>
            </w:hyperlink>
          </w:p>
        </w:tc>
        <w:tc>
          <w:tcPr>
            <w:tcW w:w="935" w:type="dxa"/>
            <w:tcBorders/>
            <w:vAlign w:val="center"/>
          </w:tcPr>
          <w:p>
            <w:pPr>
              <w:pStyle w:val="TableContents"/>
              <w:bidi w:val="0"/>
              <w:spacing w:before="0" w:after="0"/>
              <w:ind w:left="0" w:right="0" w:hanging="0"/>
              <w:jc w:val="center"/>
            </w:pPr>
            <w:hyperlink w:anchor="item4">
              <w:r>
                <w:rPr>
                  <w:rStyle w:val="InternetLink"/>
                  <w:rFonts w:ascii="Times New Roman;Times;serif" w:hAnsi="Times New Roman;Times;serif"/>
                  <w:sz w:val="20"/>
                </w:rPr>
                <w:t>44</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7945" w:type="dxa"/>
            <w:gridSpan w:val="2"/>
            <w:tcBorders/>
            <w:vAlign w:val="center"/>
          </w:tcPr>
          <w:p>
            <w:pPr>
              <w:pStyle w:val="TableContents"/>
              <w:bidi w:val="0"/>
              <w:spacing w:before="0" w:after="0"/>
              <w:ind w:left="0" w:right="0" w:hanging="0"/>
              <w:jc w:val="left"/>
            </w:pPr>
            <w:hyperlink w:anchor="part2">
              <w:r>
                <w:rPr>
                  <w:rStyle w:val="InternetLink"/>
                  <w:rFonts w:ascii="Times New Roman;Times;serif" w:hAnsi="Times New Roman;Times;serif"/>
                  <w:b/>
                  <w:sz w:val="20"/>
                </w:rPr>
                <w:t>PART II – OTHER INFORMATION</w:t>
              </w:r>
            </w:hyperlink>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left"/>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pPr>
            <w:hyperlink w:anchor="a2item1">
              <w:r>
                <w:rPr>
                  <w:rStyle w:val="InternetLink"/>
                  <w:rFonts w:ascii="Times New Roman;Times;serif" w:hAnsi="Times New Roman;Times;serif"/>
                  <w:sz w:val="20"/>
                </w:rPr>
                <w:t>Legal Proceedings</w:t>
              </w:r>
            </w:hyperlink>
          </w:p>
        </w:tc>
        <w:tc>
          <w:tcPr>
            <w:tcW w:w="935" w:type="dxa"/>
            <w:tcBorders/>
            <w:vAlign w:val="center"/>
          </w:tcPr>
          <w:p>
            <w:pPr>
              <w:pStyle w:val="TableContents"/>
              <w:bidi w:val="0"/>
              <w:spacing w:before="0" w:after="0"/>
              <w:ind w:left="0" w:right="0" w:hanging="0"/>
              <w:jc w:val="center"/>
            </w:pPr>
            <w:hyperlink w:anchor="a2item1">
              <w:r>
                <w:rPr>
                  <w:rStyle w:val="InternetLink"/>
                  <w:rFonts w:ascii="Times New Roman;Times;serif" w:hAnsi="Times New Roman;Times;serif"/>
                  <w:sz w:val="20"/>
                </w:rPr>
                <w:t>45</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pPr>
            <w:hyperlink w:anchor="a2item1a">
              <w:r>
                <w:rPr>
                  <w:rStyle w:val="InternetLink"/>
                  <w:rFonts w:ascii="Times New Roman;Times;serif" w:hAnsi="Times New Roman;Times;serif"/>
                  <w:sz w:val="20"/>
                </w:rPr>
                <w:t>Risk Factors</w:t>
              </w:r>
            </w:hyperlink>
          </w:p>
        </w:tc>
        <w:tc>
          <w:tcPr>
            <w:tcW w:w="935" w:type="dxa"/>
            <w:tcBorders/>
            <w:vAlign w:val="center"/>
          </w:tcPr>
          <w:p>
            <w:pPr>
              <w:pStyle w:val="TableContents"/>
              <w:bidi w:val="0"/>
              <w:spacing w:before="0" w:after="0"/>
              <w:ind w:left="0" w:right="0" w:hanging="0"/>
              <w:jc w:val="center"/>
            </w:pPr>
            <w:hyperlink w:anchor="a2item1a">
              <w:r>
                <w:rPr>
                  <w:rStyle w:val="InternetLink"/>
                  <w:rFonts w:ascii="Times New Roman;Times;serif" w:hAnsi="Times New Roman;Times;serif"/>
                  <w:sz w:val="20"/>
                </w:rPr>
                <w:t>45</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pPr>
            <w:hyperlink w:anchor="a2item2">
              <w:r>
                <w:rPr>
                  <w:rStyle w:val="InternetLink"/>
                  <w:rFonts w:ascii="Times New Roman;Times;serif" w:hAnsi="Times New Roman;Times;serif"/>
                  <w:sz w:val="20"/>
                </w:rPr>
                <w:t>Unregistered Sales of Equity Securities and Use of Proceeds</w:t>
              </w:r>
            </w:hyperlink>
          </w:p>
        </w:tc>
        <w:tc>
          <w:tcPr>
            <w:tcW w:w="935" w:type="dxa"/>
            <w:tcBorders/>
            <w:vAlign w:val="center"/>
          </w:tcPr>
          <w:p>
            <w:pPr>
              <w:pStyle w:val="TableContents"/>
              <w:bidi w:val="0"/>
              <w:spacing w:before="0" w:after="0"/>
              <w:ind w:left="0" w:right="0" w:hanging="0"/>
              <w:jc w:val="center"/>
            </w:pPr>
            <w:hyperlink w:anchor="a2item2">
              <w:r>
                <w:rPr>
                  <w:rStyle w:val="InternetLink"/>
                  <w:rFonts w:ascii="Times New Roman;Times;serif" w:hAnsi="Times New Roman;Times;serif"/>
                  <w:sz w:val="20"/>
                </w:rPr>
                <w:t>46</w:t>
              </w:r>
            </w:hyperlink>
          </w:p>
        </w:tc>
      </w:tr>
      <w:tr>
        <w:tc>
          <w:tcPr>
            <w:tcW w:w="665" w:type="dxa"/>
            <w:tcBorders/>
            <w:vAlign w:val="center"/>
          </w:tcPr>
          <w:p>
            <w:pPr>
              <w:pStyle w:val="TableContents"/>
              <w:bidi w:val="0"/>
              <w:spacing w:before="0" w:after="283"/>
              <w:jc w:val="left"/>
            </w:pPr>
            <w:r>
              <w:t> </w:t>
            </w:r>
          </w:p>
        </w:tc>
        <w:tc>
          <w:tcPr>
            <w:tcW w:w="7280" w:type="dxa"/>
            <w:tcBorders/>
            <w:vAlign w:val="center"/>
          </w:tcPr>
          <w:p>
            <w:pPr>
              <w:pStyle w:val="TableContents"/>
              <w:bidi w:val="0"/>
              <w:spacing w:before="0" w:after="283"/>
              <w:jc w:val="left"/>
            </w:pPr>
            <w:r>
              <w:t> </w:t>
            </w:r>
          </w:p>
        </w:tc>
        <w:tc>
          <w:tcPr>
            <w:tcW w:w="935" w:type="dxa"/>
            <w:tcBorders/>
            <w:vAlign w:val="center"/>
          </w:tcPr>
          <w:p>
            <w:pPr>
              <w:pStyle w:val="TableContents"/>
              <w:bidi w:val="0"/>
              <w:spacing w:before="0" w:after="283"/>
              <w:jc w:val="left"/>
            </w:pPr>
            <w:r>
              <w:t> </w:t>
            </w:r>
          </w:p>
        </w:tc>
      </w:tr>
      <w:tr>
        <w:tc>
          <w:tcPr>
            <w:tcW w:w="665" w:type="dxa"/>
            <w:tcBorders/>
            <w:vAlign w:val="center"/>
          </w:tcPr>
          <w:p>
            <w:pPr>
              <w:pStyle w:val="TableContents"/>
              <w:bidi w:val="0"/>
              <w:spacing w:before="0" w:after="283"/>
              <w:jc w:val="left"/>
            </w:pPr>
            <w:r>
              <w:t>Item 5</w:t>
            </w:r>
          </w:p>
        </w:tc>
        <w:tc>
          <w:tcPr>
            <w:tcW w:w="7280" w:type="dxa"/>
            <w:tcBorders/>
            <w:vAlign w:val="center"/>
          </w:tcPr>
          <w:p>
            <w:pPr>
              <w:pStyle w:val="TableContents"/>
              <w:bidi w:val="0"/>
              <w:spacing w:before="0" w:after="283"/>
              <w:jc w:val="left"/>
            </w:pPr>
            <w:hyperlink w:anchor="a2item5">
              <w:r>
                <w:rPr>
                  <w:rStyle w:val="InternetLink"/>
                </w:rPr>
                <w:t>Other Information</w:t>
              </w:r>
            </w:hyperlink>
          </w:p>
        </w:tc>
        <w:tc>
          <w:tcPr>
            <w:tcW w:w="935" w:type="dxa"/>
            <w:tcBorders/>
            <w:vAlign w:val="center"/>
          </w:tcPr>
          <w:p>
            <w:pPr>
              <w:pStyle w:val="TableContents"/>
              <w:bidi w:val="0"/>
              <w:spacing w:before="0" w:after="283"/>
              <w:jc w:val="center"/>
            </w:pPr>
            <w:hyperlink w:anchor="a2item5">
              <w:r>
                <w:rPr>
                  <w:rStyle w:val="InternetLink"/>
                </w:rPr>
                <w:t>46</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pPr>
            <w:hyperlink w:anchor="a2item6">
              <w:r>
                <w:rPr>
                  <w:rStyle w:val="InternetLink"/>
                  <w:rFonts w:ascii="Times New Roman;Times;serif" w:hAnsi="Times New Roman;Times;serif"/>
                  <w:sz w:val="20"/>
                </w:rPr>
                <w:t>Exhibits</w:t>
              </w:r>
            </w:hyperlink>
          </w:p>
        </w:tc>
        <w:tc>
          <w:tcPr>
            <w:tcW w:w="935" w:type="dxa"/>
            <w:tcBorders/>
            <w:vAlign w:val="center"/>
          </w:tcPr>
          <w:p>
            <w:pPr>
              <w:pStyle w:val="TableContents"/>
              <w:bidi w:val="0"/>
              <w:spacing w:before="0" w:after="0"/>
              <w:ind w:left="0" w:right="0" w:hanging="0"/>
              <w:jc w:val="center"/>
            </w:pPr>
            <w:hyperlink w:anchor="a2item6">
              <w:r>
                <w:rPr>
                  <w:rStyle w:val="InternetLink"/>
                  <w:rFonts w:ascii="Times New Roman;Times;serif" w:hAnsi="Times New Roman;Times;serif"/>
                  <w:sz w:val="20"/>
                </w:rPr>
                <w:t>46</w:t>
              </w:r>
            </w:hyperlink>
          </w:p>
        </w:tc>
      </w:tr>
      <w:tr>
        <w:tc>
          <w:tcPr>
            <w:tcW w:w="665" w:type="dxa"/>
            <w:tcBorders/>
            <w:vAlign w:val="center"/>
          </w:tcPr>
          <w:p>
            <w:pPr>
              <w:pStyle w:val="TableContents"/>
              <w:bidi w:val="0"/>
              <w:spacing w:before="0" w:after="0"/>
              <w:ind w:left="0" w:right="0" w:hanging="0"/>
              <w:jc w:val="left"/>
            </w:pPr>
            <w:r>
              <w:t> </w:t>
            </w:r>
          </w:p>
        </w:tc>
        <w:tc>
          <w:tcPr>
            <w:tcW w:w="7280" w:type="dxa"/>
            <w:tcBorders/>
            <w:vAlign w:val="center"/>
          </w:tcPr>
          <w:p>
            <w:pPr>
              <w:pStyle w:val="TableContents"/>
              <w:bidi w:val="0"/>
              <w:spacing w:before="0" w:after="0"/>
              <w:ind w:left="0" w:right="0" w:hanging="0"/>
              <w:jc w:val="left"/>
            </w:pPr>
            <w:r>
              <w:t> </w:t>
            </w:r>
          </w:p>
        </w:tc>
        <w:tc>
          <w:tcPr>
            <w:tcW w:w="935" w:type="dxa"/>
            <w:tcBorders/>
            <w:vAlign w:val="center"/>
          </w:tcPr>
          <w:p>
            <w:pPr>
              <w:pStyle w:val="TableContents"/>
              <w:bidi w:val="0"/>
              <w:spacing w:before="0" w:after="0"/>
              <w:ind w:left="0" w:right="0" w:hanging="0"/>
              <w:jc w:val="center"/>
            </w:pPr>
            <w:r>
              <w:t> </w:t>
            </w:r>
          </w:p>
        </w:tc>
      </w:tr>
      <w:tr>
        <w:tc>
          <w:tcPr>
            <w:tcW w:w="7945" w:type="dxa"/>
            <w:gridSpan w:val="2"/>
            <w:tcBorders/>
            <w:vAlign w:val="center"/>
          </w:tcPr>
          <w:p>
            <w:pPr>
              <w:pStyle w:val="TableContents"/>
              <w:bidi w:val="0"/>
              <w:spacing w:before="0" w:after="0"/>
              <w:ind w:left="0" w:right="0" w:hanging="0"/>
              <w:jc w:val="left"/>
            </w:pPr>
            <w:hyperlink w:anchor="sigs">
              <w:r>
                <w:rPr>
                  <w:rStyle w:val="InternetLink"/>
                  <w:rFonts w:ascii="Times New Roman;Times;serif" w:hAnsi="Times New Roman;Times;serif"/>
                  <w:sz w:val="20"/>
                </w:rPr>
                <w:t>Signatures</w:t>
              </w:r>
            </w:hyperlink>
          </w:p>
        </w:tc>
        <w:tc>
          <w:tcPr>
            <w:tcW w:w="935" w:type="dxa"/>
            <w:tcBorders/>
            <w:vAlign w:val="center"/>
          </w:tcPr>
          <w:p>
            <w:pPr>
              <w:pStyle w:val="TableContents"/>
              <w:bidi w:val="0"/>
              <w:spacing w:before="0" w:after="0"/>
              <w:ind w:left="0" w:right="0" w:hanging="0"/>
              <w:jc w:val="center"/>
            </w:pPr>
            <w:hyperlink w:anchor="sigs">
              <w:r>
                <w:rPr>
                  <w:rStyle w:val="InternetLink"/>
                  <w:rFonts w:ascii="Times New Roman;Times;serif" w:hAnsi="Times New Roman;Times;serif"/>
                  <w:sz w:val="20"/>
                </w:rPr>
                <w:t>47</w:t>
              </w:r>
            </w:hyperlink>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center"/>
      </w:pPr>
      <w:r>
        <w:t>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3" w:name="parti"/>
      <w:bookmarkEnd w:id="3"/>
      <w:r>
        <w:rPr>
          <w:rFonts w:ascii="Times New Roman;Times;serif" w:hAnsi="Times New Roman;Times;serif"/>
          <w:b/>
          <w:sz w:val="20"/>
        </w:rPr>
        <w:t>PART I – FINANCIAL INFORMATION</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per share amounts)</w:t>
      </w:r>
    </w:p>
    <w:p>
      <w:pPr>
        <w:pStyle w:val="TextBody"/>
        <w:bidi w:val="0"/>
        <w:spacing w:before="0" w:after="0"/>
        <w:ind w:left="0" w:right="0" w:hanging="0"/>
        <w:jc w:val="center"/>
      </w:pPr>
      <w:r>
        <w:t> </w:t>
      </w:r>
    </w:p>
    <w:tbl>
      <w:tblPr>
        <w:tblW w:w="9302" w:type="dxa"/>
        <w:jc w:val="left"/>
        <w:tblInd w:w="0" w:type="dxa"/>
        <w:tblLayout w:type="fixed"/>
        <w:tblCellMar>
          <w:top w:w="0" w:type="dxa"/>
          <w:left w:w="0" w:type="dxa"/>
          <w:bottom w:w="0" w:type="dxa"/>
          <w:right w:w="0" w:type="dxa"/>
        </w:tblCellMar>
      </w:tblPr>
      <w:tblGrid>
        <w:gridCol w:w="5675"/>
        <w:gridCol w:w="60"/>
        <w:gridCol w:w="157"/>
        <w:gridCol w:w="611"/>
        <w:gridCol w:w="100"/>
        <w:gridCol w:w="75"/>
        <w:gridCol w:w="157"/>
        <w:gridCol w:w="611"/>
        <w:gridCol w:w="80"/>
        <w:gridCol w:w="60"/>
        <w:gridCol w:w="150"/>
        <w:gridCol w:w="584"/>
        <w:gridCol w:w="96"/>
        <w:gridCol w:w="72"/>
        <w:gridCol w:w="150"/>
        <w:gridCol w:w="584"/>
        <w:gridCol w:w="80"/>
      </w:tblGrid>
      <w:tr>
        <w:tc>
          <w:tcPr>
            <w:tcW w:w="56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continuing operations</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from discontinued operations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available to common stockholders</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(loss) per share from continuing operations</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 from discontinued operations</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(loss) per share from continuing operations</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 from discontinued operations</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CCEEFF" w:val="clear"/>
            <w:vAlign w:val="center"/>
          </w:tcPr>
          <w:p>
            <w:pPr>
              <w:pStyle w:val="TableContents"/>
              <w:bidi w:val="0"/>
              <w:spacing w:before="0" w:after="283"/>
              <w:jc w:val="left"/>
            </w:pPr>
            <w:r>
              <w:t> </w:t>
            </w:r>
          </w:p>
        </w:tc>
      </w:tr>
      <w:t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4" w:name="compinc"/>
      <w:bookmarkEnd w:id="4"/>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Comprehensive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0"/>
        <w:ind w:left="0" w:right="0" w:hanging="0"/>
        <w:jc w:val="center"/>
      </w:pPr>
      <w:r>
        <w:t> </w:t>
      </w:r>
    </w:p>
    <w:tbl>
      <w:tblPr>
        <w:tblW w:w="10205" w:type="dxa"/>
        <w:jc w:val="left"/>
        <w:tblInd w:w="0" w:type="dxa"/>
        <w:tblLayout w:type="fixed"/>
        <w:tblCellMar>
          <w:top w:w="0" w:type="dxa"/>
          <w:left w:w="0" w:type="dxa"/>
          <w:bottom w:w="0" w:type="dxa"/>
          <w:right w:w="0" w:type="dxa"/>
        </w:tblCellMar>
      </w:tblPr>
      <w:tblGrid>
        <w:gridCol w:w="6763"/>
        <w:gridCol w:w="60"/>
        <w:gridCol w:w="209"/>
        <w:gridCol w:w="474"/>
        <w:gridCol w:w="130"/>
        <w:gridCol w:w="98"/>
        <w:gridCol w:w="209"/>
        <w:gridCol w:w="474"/>
        <w:gridCol w:w="80"/>
        <w:gridCol w:w="60"/>
        <w:gridCol w:w="161"/>
        <w:gridCol w:w="627"/>
        <w:gridCol w:w="103"/>
        <w:gridCol w:w="77"/>
        <w:gridCol w:w="161"/>
        <w:gridCol w:w="433"/>
        <w:gridCol w:w="86"/>
      </w:tblGrid>
      <w:tr>
        <w:tc>
          <w:tcPr>
            <w:tcW w:w="676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4"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62"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6" w:type="dxa"/>
            <w:tcBorders/>
            <w:shd w:fill="FFFFFF" w:val="clear"/>
            <w:vAlign w:val="center"/>
          </w:tcPr>
          <w:p>
            <w:pPr>
              <w:pStyle w:val="TableContents"/>
              <w:bidi w:val="0"/>
              <w:spacing w:before="0" w:after="283"/>
              <w:jc w:val="left"/>
            </w:pPr>
            <w:r>
              <w:t> </w:t>
            </w:r>
          </w:p>
        </w:tc>
      </w:tr>
      <w:tr>
        <w:tc>
          <w:tcPr>
            <w:tcW w:w="676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76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76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pPr>
            <w: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ind w:left="0" w:right="0" w:hanging="0"/>
              <w:jc w:val="left"/>
            </w:pPr>
            <w: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from continuing operations, net of tax:</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jc w:val="left"/>
            </w:pPr>
            <w:r>
              <w:t> </w:t>
            </w:r>
          </w:p>
        </w:tc>
        <w:tc>
          <w:tcPr>
            <w:tcW w:w="474"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jc w:val="left"/>
            </w:pPr>
            <w:r>
              <w:t> </w:t>
            </w:r>
          </w:p>
        </w:tc>
        <w:tc>
          <w:tcPr>
            <w:tcW w:w="47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627" w:type="dxa"/>
            <w:tcBorders/>
            <w:shd w:fill="FFFFFF" w:val="clear"/>
            <w:vAlign w:val="center"/>
          </w:tcPr>
          <w:p>
            <w:pPr>
              <w:pStyle w:val="TableContents"/>
              <w:bidi w:val="0"/>
              <w:spacing w:before="0" w:after="283"/>
              <w:jc w:val="left"/>
            </w:pPr>
            <w:r>
              <w:t> </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433"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r>
      <w:tr>
        <w:tc>
          <w:tcPr>
            <w:tcW w:w="67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adjustments</w:t>
            </w:r>
          </w:p>
        </w:tc>
        <w:tc>
          <w:tcPr>
            <w:tcW w:w="60"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74" w:type="dxa"/>
            <w:tcBorders/>
            <w:shd w:fill="CCEEFF" w:val="clear"/>
            <w:vAlign w:val="center"/>
          </w:tcPr>
          <w:p>
            <w:pPr>
              <w:pStyle w:val="TableContents"/>
              <w:bidi w:val="0"/>
              <w:spacing w:before="0" w:after="283"/>
              <w:jc w:val="right"/>
            </w:pPr>
            <w:r>
              <w:rPr>
                <w:rStyle w:val="Emphasis"/>
              </w:rPr>
              <w:t> </w:t>
            </w:r>
          </w:p>
        </w:tc>
        <w:tc>
          <w:tcPr>
            <w:tcW w:w="13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103"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86" w:type="dxa"/>
            <w:tcBorders/>
            <w:shd w:fill="CCEEFF" w:val="clear"/>
            <w:vAlign w:val="center"/>
          </w:tcPr>
          <w:p>
            <w:pPr>
              <w:pStyle w:val="TableContents"/>
              <w:bidi w:val="0"/>
              <w:spacing w:before="0" w:after="283"/>
              <w:ind w:left="180" w:right="0" w:hanging="0"/>
              <w:jc w:val="left"/>
            </w:pPr>
            <w:r>
              <w:t> </w:t>
            </w:r>
          </w:p>
        </w:tc>
      </w:tr>
      <w:tr>
        <w:tc>
          <w:tcPr>
            <w:tcW w:w="67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gains and losses</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6" w:type="dxa"/>
            <w:tcBorders/>
            <w:shd w:fill="FFFFFF" w:val="clear"/>
            <w:vAlign w:val="center"/>
          </w:tcPr>
          <w:p>
            <w:pPr>
              <w:pStyle w:val="TableContents"/>
              <w:bidi w:val="0"/>
              <w:spacing w:before="0" w:after="283"/>
              <w:jc w:val="left"/>
            </w:pPr>
            <w:r>
              <w:t> </w:t>
            </w:r>
          </w:p>
        </w:tc>
      </w:tr>
      <w:tr>
        <w:tc>
          <w:tcPr>
            <w:tcW w:w="67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benefit plans</w:t>
            </w:r>
          </w:p>
        </w:tc>
        <w:tc>
          <w:tcPr>
            <w:tcW w:w="60" w:type="dxa"/>
            <w:tcBorders/>
            <w:shd w:fill="CCEEFF" w:val="clear"/>
            <w:vAlign w:val="center"/>
          </w:tcPr>
          <w:p>
            <w:pPr>
              <w:pStyle w:val="TableContents"/>
              <w:bidi w:val="0"/>
              <w:spacing w:before="0" w:after="283"/>
              <w:ind w:left="0" w:right="0" w:hanging="0"/>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3"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bottom w:val="single" w:sz="2" w:space="0" w:color="000000"/>
            </w:tcBorders>
            <w:shd w:fill="CCEEFF" w:val="clear"/>
            <w:tcMar>
              <w:bottom w:w="28" w:type="dxa"/>
            </w:tcMar>
            <w:vAlign w:val="center"/>
          </w:tcPr>
          <w:p>
            <w:pPr>
              <w:pStyle w:val="TableContents"/>
              <w:bidi w:val="0"/>
              <w:spacing w:before="0" w:after="0"/>
              <w:ind w:left="360" w:right="0" w:hanging="0"/>
              <w:jc w:val="left"/>
            </w:pPr>
            <w:r>
              <w:t> </w:t>
            </w:r>
          </w:p>
        </w:tc>
      </w:tr>
      <w:tr>
        <w:tc>
          <w:tcPr>
            <w:tcW w:w="676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from continuing operations</w:t>
            </w:r>
          </w:p>
        </w:tc>
        <w:tc>
          <w:tcPr>
            <w:tcW w:w="60" w:type="dxa"/>
            <w:tcBorders/>
            <w:shd w:fill="FFFFFF" w:val="clear"/>
            <w:vAlign w:val="center"/>
          </w:tcPr>
          <w:p>
            <w:pPr>
              <w:pStyle w:val="TableContents"/>
              <w:bidi w:val="0"/>
              <w:spacing w:before="0" w:after="283"/>
              <w:jc w:val="left"/>
            </w:pPr>
            <w: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pPr>
            <w: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76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(loss) from continuing operations</w:t>
            </w:r>
          </w:p>
        </w:tc>
        <w:tc>
          <w:tcPr>
            <w:tcW w:w="60"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76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from discontinued operations</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3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6" w:type="dxa"/>
            <w:tcBorders/>
            <w:shd w:fill="FFFFFF" w:val="clear"/>
            <w:vAlign w:val="center"/>
          </w:tcPr>
          <w:p>
            <w:pPr>
              <w:pStyle w:val="TableContents"/>
              <w:bidi w:val="0"/>
              <w:spacing w:before="0" w:after="283"/>
              <w:jc w:val="left"/>
            </w:pPr>
            <w:r>
              <w:t> </w:t>
            </w:r>
          </w:p>
        </w:tc>
      </w:tr>
      <w:tr>
        <w:tc>
          <w:tcPr>
            <w:tcW w:w="67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from discontinued operations, net of tax:</w:t>
            </w:r>
          </w:p>
        </w:tc>
        <w:tc>
          <w:tcPr>
            <w:tcW w:w="60"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74"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09" w:type="dxa"/>
            <w:tcBorders/>
            <w:shd w:fill="CCEEFF" w:val="clear"/>
            <w:vAlign w:val="center"/>
          </w:tcPr>
          <w:p>
            <w:pPr>
              <w:pStyle w:val="TableContents"/>
              <w:bidi w:val="0"/>
              <w:spacing w:before="0" w:after="283"/>
              <w:jc w:val="left"/>
            </w:pPr>
            <w:r>
              <w:t> </w:t>
            </w:r>
          </w:p>
        </w:tc>
        <w:tc>
          <w:tcPr>
            <w:tcW w:w="47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627" w:type="dxa"/>
            <w:tcBorders/>
            <w:shd w:fill="CCEEFF" w:val="clear"/>
            <w:vAlign w:val="center"/>
          </w:tcPr>
          <w:p>
            <w:pPr>
              <w:pStyle w:val="TableContents"/>
              <w:bidi w:val="0"/>
              <w:spacing w:before="0" w:after="283"/>
              <w:jc w:val="left"/>
            </w:pPr>
            <w:r>
              <w:t> </w:t>
            </w:r>
          </w:p>
        </w:tc>
        <w:tc>
          <w:tcPr>
            <w:tcW w:w="103"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180" w:right="0" w:hanging="0"/>
              <w:jc w:val="left"/>
            </w:pPr>
            <w:r>
              <w:t> </w:t>
            </w:r>
          </w:p>
        </w:tc>
      </w:tr>
      <w:tr>
        <w:tc>
          <w:tcPr>
            <w:tcW w:w="676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pPr>
            <w:r>
              <w:rPr>
                <w:rStyle w:val="Emphasis"/>
              </w:rPr>
              <w:t> </w:t>
            </w:r>
          </w:p>
        </w:tc>
        <w:tc>
          <w:tcPr>
            <w:tcW w:w="13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Hedging gains and losses</w:t>
            </w:r>
          </w:p>
        </w:tc>
        <w:tc>
          <w:tcPr>
            <w:tcW w:w="60" w:type="dxa"/>
            <w:tcBorders/>
            <w:shd w:fill="CCEEFF" w:val="clear"/>
            <w:vAlign w:val="center"/>
          </w:tcPr>
          <w:p>
            <w:pPr>
              <w:pStyle w:val="TableContents"/>
              <w:bidi w:val="0"/>
              <w:spacing w:before="0" w:after="283"/>
              <w:ind w:left="0" w:right="0" w:hanging="0"/>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103"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bottom w:val="single" w:sz="2" w:space="0" w:color="000000"/>
            </w:tcBorders>
            <w:shd w:fill="CCEEFF" w:val="clear"/>
            <w:tcMar>
              <w:bottom w:w="28" w:type="dxa"/>
            </w:tcMar>
            <w:vAlign w:val="center"/>
          </w:tcPr>
          <w:p>
            <w:pPr>
              <w:pStyle w:val="TableContents"/>
              <w:bidi w:val="0"/>
              <w:spacing w:before="0" w:after="0"/>
              <w:ind w:left="360" w:right="0" w:hanging="0"/>
              <w:jc w:val="left"/>
            </w:pPr>
            <w:r>
              <w:t> </w:t>
            </w:r>
          </w:p>
        </w:tc>
      </w:tr>
      <w:tr>
        <w:tc>
          <w:tcPr>
            <w:tcW w:w="676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from discontinued operations</w:t>
            </w:r>
          </w:p>
        </w:tc>
        <w:tc>
          <w:tcPr>
            <w:tcW w:w="60" w:type="dxa"/>
            <w:tcBorders/>
            <w:shd w:fill="FFFFFF" w:val="clear"/>
            <w:vAlign w:val="center"/>
          </w:tcPr>
          <w:p>
            <w:pPr>
              <w:pStyle w:val="TableContents"/>
              <w:bidi w:val="0"/>
              <w:spacing w:before="0" w:after="283"/>
              <w:jc w:val="left"/>
            </w:pPr>
            <w: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6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 from discontinued operations</w:t>
            </w:r>
          </w:p>
        </w:tc>
        <w:tc>
          <w:tcPr>
            <w:tcW w:w="60"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676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w:t>
            </w:r>
          </w:p>
        </w:tc>
        <w:tc>
          <w:tcPr>
            <w:tcW w:w="60"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30"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9" w:type="dxa"/>
            <w:tcBorders/>
            <w:shd w:fill="FFFFFF" w:val="clear"/>
            <w:vAlign w:val="center"/>
          </w:tcPr>
          <w:p>
            <w:pPr>
              <w:pStyle w:val="TableContents"/>
              <w:bidi w:val="0"/>
              <w:spacing w:before="0" w:after="283"/>
              <w:ind w:left="0" w:right="0" w:hanging="0"/>
              <w:jc w:val="left"/>
            </w:pPr>
            <w:r>
              <w:t> </w:t>
            </w:r>
          </w:p>
        </w:tc>
        <w:tc>
          <w:tcPr>
            <w:tcW w:w="4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w:t>
            </w:r>
          </w:p>
        </w:tc>
        <w:tc>
          <w:tcPr>
            <w:tcW w:w="103"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6" w:type="dxa"/>
            <w:tcBorders/>
            <w:shd w:fill="FFFFFF" w:val="clear"/>
            <w:vAlign w:val="center"/>
          </w:tcPr>
          <w:p>
            <w:pPr>
              <w:pStyle w:val="TableContents"/>
              <w:bidi w:val="0"/>
              <w:spacing w:before="0" w:after="283"/>
              <w:ind w:left="180" w:right="0" w:hanging="0"/>
              <w:jc w:val="left"/>
            </w:pPr>
            <w:r>
              <w:t> </w:t>
            </w:r>
          </w:p>
        </w:tc>
      </w:tr>
      <w:tr>
        <w:tc>
          <w:tcPr>
            <w:tcW w:w="6763"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from continuing operations attributable to noncontrolling interests</w:t>
            </w:r>
          </w:p>
        </w:tc>
        <w:tc>
          <w:tcPr>
            <w:tcW w:w="60"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pPr>
            <w: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6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the parent company</w:t>
            </w:r>
          </w:p>
        </w:tc>
        <w:tc>
          <w:tcPr>
            <w:tcW w:w="60" w:type="dxa"/>
            <w:tcBorders/>
            <w:shd w:fill="FFFFFF" w:val="clear"/>
            <w:vAlign w:val="center"/>
          </w:tcPr>
          <w:p>
            <w:pPr>
              <w:pStyle w:val="TableContents"/>
              <w:bidi w:val="0"/>
              <w:spacing w:before="0" w:after="283"/>
              <w:ind w:left="0" w:right="0" w:hanging="0"/>
              <w:jc w:val="left"/>
            </w:pPr>
            <w: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5" w:name="bal"/>
      <w:bookmarkEnd w:id="5"/>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 and per share amounts)</w:t>
      </w:r>
    </w:p>
    <w:p>
      <w:pPr>
        <w:pStyle w:val="TextBody"/>
        <w:bidi w:val="0"/>
        <w:spacing w:before="0" w:after="0"/>
        <w:ind w:left="0" w:right="0" w:hanging="0"/>
        <w:jc w:val="center"/>
      </w:pPr>
      <w:r>
        <w:t> </w:t>
      </w:r>
    </w:p>
    <w:tbl>
      <w:tblPr>
        <w:tblW w:w="10205" w:type="dxa"/>
        <w:jc w:val="left"/>
        <w:tblInd w:w="0" w:type="dxa"/>
        <w:tblLayout w:type="fixed"/>
        <w:tblCellMar>
          <w:top w:w="0" w:type="dxa"/>
          <w:left w:w="0" w:type="dxa"/>
          <w:bottom w:w="0" w:type="dxa"/>
          <w:right w:w="0" w:type="dxa"/>
        </w:tblCellMar>
      </w:tblPr>
      <w:tblGrid>
        <w:gridCol w:w="7737"/>
        <w:gridCol w:w="60"/>
        <w:gridCol w:w="228"/>
        <w:gridCol w:w="887"/>
        <w:gridCol w:w="80"/>
        <w:gridCol w:w="60"/>
        <w:gridCol w:w="198"/>
        <w:gridCol w:w="872"/>
        <w:gridCol w:w="83"/>
      </w:tblGrid>
      <w:tr>
        <w:tc>
          <w:tcPr>
            <w:tcW w:w="77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December 31,</w:t>
            </w:r>
          </w:p>
        </w:tc>
        <w:tc>
          <w:tcPr>
            <w:tcW w:w="83" w:type="dxa"/>
            <w:tcBorders/>
            <w:shd w:fill="FFFF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ind w:left="0" w:right="0" w:hanging="0"/>
              <w:jc w:val="left"/>
            </w:pPr>
            <w:r>
              <w:t> </w:t>
            </w:r>
          </w:p>
        </w:tc>
      </w:tr>
      <w:tr>
        <w:tc>
          <w:tcPr>
            <w:tcW w:w="77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less allowance for doubtful accounts of $11 in 2026 and $15 in 2025</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3" w:type="dxa"/>
            <w:tcBorders/>
            <w:shd w:fill="CCEEFF" w:val="clear"/>
            <w:vAlign w:val="center"/>
          </w:tcPr>
          <w:p>
            <w:pPr>
              <w:pStyle w:val="TableContents"/>
              <w:bidi w:val="0"/>
              <w:spacing w:before="0" w:after="283"/>
              <w:ind w:left="0" w:right="0" w:hanging="0"/>
              <w:jc w:val="left"/>
            </w:pPr>
            <w:r>
              <w:t> </w:t>
            </w:r>
          </w:p>
        </w:tc>
      </w:tr>
      <w:tr>
        <w:tc>
          <w:tcPr>
            <w:tcW w:w="77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affiliates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employee benefits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on income</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of disposal group held for sale</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debt issuance costs of $5 in 2026 and $16 in 2025</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and postretirement obligations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 of disposal group held for sale</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87"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Parent company stockholders' equity</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jc w:val="left"/>
            </w:pPr>
            <w:r>
              <w:t> </w:t>
            </w:r>
          </w:p>
        </w:tc>
        <w:tc>
          <w:tcPr>
            <w:tcW w:w="88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872"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50,000,000 shares authorized, $0.01 par value, no shares outstanding</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jc w:val="left"/>
            </w:pPr>
            <w:r>
              <w:t> </w:t>
            </w:r>
          </w:p>
        </w:tc>
        <w:tc>
          <w:tcPr>
            <w:tcW w:w="887"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872" w:type="dxa"/>
            <w:tcBorders/>
            <w:shd w:fill="CCEEFF" w:val="clear"/>
            <w:vAlign w:val="center"/>
          </w:tcPr>
          <w:p>
            <w:pPr>
              <w:pStyle w:val="TableContents"/>
              <w:bidi w:val="0"/>
              <w:spacing w:before="0" w:after="283"/>
              <w:jc w:val="right"/>
            </w:pPr>
            <w:r>
              <w:t>—</w:t>
            </w:r>
          </w:p>
        </w:tc>
        <w:tc>
          <w:tcPr>
            <w:tcW w:w="83" w:type="dxa"/>
            <w:tcBorders/>
            <w:shd w:fill="CCEEFF" w:val="clear"/>
            <w:vAlign w:val="center"/>
          </w:tcPr>
          <w:p>
            <w:pPr>
              <w:pStyle w:val="TableContents"/>
              <w:bidi w:val="0"/>
              <w:spacing w:before="0" w:after="283"/>
              <w:ind w:left="0" w:right="0" w:hanging="0"/>
              <w:jc w:val="left"/>
            </w:pPr>
            <w:r>
              <w:t> </w:t>
            </w:r>
          </w:p>
        </w:tc>
      </w:tr>
      <w:tr>
        <w:tc>
          <w:tcPr>
            <w:tcW w:w="77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450,000,000 shares authorized, $0.01 par value, 101,060,529 and 112,284,138 shares outstanding</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3" w:type="dxa"/>
            <w:tcBorders/>
            <w:shd w:fill="FFFFFF" w:val="clear"/>
            <w:vAlign w:val="center"/>
          </w:tcPr>
          <w:p>
            <w:pPr>
              <w:pStyle w:val="TableContents"/>
              <w:bidi w:val="0"/>
              <w:spacing w:before="0" w:after="283"/>
              <w:ind w:left="0" w:right="0" w:hanging="0"/>
              <w:jc w:val="left"/>
            </w:pPr>
            <w:r>
              <w:t> </w:t>
            </w:r>
          </w:p>
        </w:tc>
      </w:tr>
      <w:tr>
        <w:tc>
          <w:tcPr>
            <w:tcW w:w="77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w:t>
            </w:r>
          </w:p>
        </w:tc>
        <w:tc>
          <w:tcPr>
            <w:tcW w:w="83" w:type="dxa"/>
            <w:tcBorders/>
            <w:shd w:fill="CCEEFF" w:val="clear"/>
            <w:vAlign w:val="center"/>
          </w:tcPr>
          <w:p>
            <w:pPr>
              <w:pStyle w:val="TableContents"/>
              <w:bidi w:val="0"/>
              <w:spacing w:before="0" w:after="283"/>
              <w:ind w:left="0" w:right="0" w:hanging="0"/>
              <w:jc w:val="left"/>
            </w:pPr>
            <w:r>
              <w:t> </w:t>
            </w:r>
          </w:p>
        </w:tc>
      </w:tr>
      <w:tr>
        <w:tc>
          <w:tcPr>
            <w:tcW w:w="77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pPr>
            <w:r>
              <w:t> </w:t>
            </w:r>
          </w:p>
        </w:tc>
        <w:tc>
          <w:tcPr>
            <w:tcW w:w="228"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3" w:type="dxa"/>
            <w:tcBorders/>
            <w:shd w:fill="FFFFFF" w:val="clear"/>
            <w:vAlign w:val="center"/>
          </w:tcPr>
          <w:p>
            <w:pPr>
              <w:pStyle w:val="TableContents"/>
              <w:bidi w:val="0"/>
              <w:spacing w:before="0" w:after="283"/>
              <w:ind w:left="0" w:right="0" w:hanging="0"/>
              <w:jc w:val="left"/>
            </w:pPr>
            <w:r>
              <w:t> </w:t>
            </w:r>
          </w:p>
        </w:tc>
      </w:tr>
      <w:tr>
        <w:tc>
          <w:tcPr>
            <w:tcW w:w="77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(2,533,552 and 1,944,700 shares)</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77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737"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parent company stockholders' equity</w:t>
            </w:r>
          </w:p>
        </w:tc>
        <w:tc>
          <w:tcPr>
            <w:tcW w:w="60" w:type="dxa"/>
            <w:tcBorders/>
            <w:shd w:fill="CCEEFF" w:val="clear"/>
            <w:vAlign w:val="center"/>
          </w:tcPr>
          <w:p>
            <w:pPr>
              <w:pStyle w:val="TableContents"/>
              <w:bidi w:val="0"/>
              <w:spacing w:before="0" w:after="283"/>
              <w:jc w:val="left"/>
            </w:pPr>
            <w:r>
              <w:t> </w:t>
            </w:r>
          </w:p>
        </w:tc>
        <w:tc>
          <w:tcPr>
            <w:tcW w:w="228"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3" w:type="dxa"/>
            <w:tcBorders/>
            <w:shd w:fill="CCEEFF" w:val="cle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FFFFFF" w:val="clear"/>
            <w:vAlign w:val="center"/>
          </w:tcPr>
          <w:p>
            <w:pPr>
              <w:pStyle w:val="TableContents"/>
              <w:bidi w:val="0"/>
              <w:spacing w:before="0" w:after="283"/>
              <w:jc w:val="left"/>
            </w:pPr>
            <w: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737"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CCEEFF" w:val="clear"/>
            <w:vAlign w:val="center"/>
          </w:tcPr>
          <w:p>
            <w:pPr>
              <w:pStyle w:val="TableContents"/>
              <w:bidi w:val="0"/>
              <w:spacing w:before="0" w:after="283"/>
              <w:jc w:val="left"/>
            </w:pPr>
            <w: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737"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6" w:name="cashflow"/>
      <w:bookmarkEnd w:id="6"/>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p>
      <w:pPr>
        <w:pStyle w:val="TextBody"/>
        <w:bidi w:val="0"/>
        <w:spacing w:before="0" w:after="0"/>
        <w:ind w:left="0" w:right="0" w:hanging="0"/>
        <w:jc w:val="center"/>
      </w:pPr>
      <w:r>
        <w:t> </w:t>
      </w:r>
    </w:p>
    <w:tbl>
      <w:tblPr>
        <w:tblW w:w="8516" w:type="dxa"/>
        <w:jc w:val="left"/>
        <w:tblInd w:w="0" w:type="dxa"/>
        <w:tblLayout w:type="fixed"/>
        <w:tblCellMar>
          <w:top w:w="0" w:type="dxa"/>
          <w:left w:w="0" w:type="dxa"/>
          <w:bottom w:w="0" w:type="dxa"/>
          <w:right w:w="0" w:type="dxa"/>
        </w:tblCellMar>
      </w:tblPr>
      <w:tblGrid>
        <w:gridCol w:w="6740"/>
        <w:gridCol w:w="60"/>
        <w:gridCol w:w="138"/>
        <w:gridCol w:w="603"/>
        <w:gridCol w:w="88"/>
        <w:gridCol w:w="66"/>
        <w:gridCol w:w="138"/>
        <w:gridCol w:w="603"/>
        <w:gridCol w:w="80"/>
      </w:tblGrid>
      <w:tr>
        <w:tc>
          <w:tcPr>
            <w:tcW w:w="67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Nine Months Ended</w:t>
            </w:r>
          </w:p>
        </w:tc>
        <w:tc>
          <w:tcPr>
            <w:tcW w:w="80" w:type="dxa"/>
            <w:tcBorders/>
            <w:shd w:fill="FFFF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7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FFFFFF" w:val="clear"/>
            <w:vAlign w:val="center"/>
          </w:tcPr>
          <w:p>
            <w:pPr>
              <w:pStyle w:val="TableContents"/>
              <w:bidi w:val="0"/>
              <w:spacing w:before="0" w:after="283"/>
              <w:ind w:left="0" w:right="0" w:hanging="0"/>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from discontinued operations</w:t>
            </w:r>
          </w:p>
        </w:tc>
        <w:tc>
          <w:tcPr>
            <w:tcW w:w="60" w:type="dxa"/>
            <w:tcBorders/>
            <w:shd w:fill="CCEEFF" w:val="clear"/>
            <w:vAlign w:val="center"/>
          </w:tcPr>
          <w:p>
            <w:pPr>
              <w:pStyle w:val="TableContents"/>
              <w:bidi w:val="0"/>
              <w:spacing w:before="0" w:after="0"/>
              <w:ind w:left="0" w:right="0" w:hanging="0"/>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6" w:type="dxa"/>
            <w:tcBorders/>
            <w:shd w:fill="CCEEFF" w:val="clear"/>
            <w:vAlign w:val="center"/>
          </w:tcPr>
          <w:p>
            <w:pPr>
              <w:pStyle w:val="TableContents"/>
              <w:bidi w:val="0"/>
              <w:spacing w:before="0" w:after="0"/>
              <w:ind w:left="0" w:right="0" w:hanging="0"/>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charges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premium on debt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of affiliates, net of dividends received</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expense, net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divestiture of ownership interests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electric vehicle program termination charges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working capital</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other noncurrent assets and liabilities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 from continuing operations</w:t>
            </w:r>
          </w:p>
        </w:tc>
        <w:tc>
          <w:tcPr>
            <w:tcW w:w="60" w:type="dxa"/>
            <w:tcBorders/>
            <w:shd w:fill="FFFFFF" w:val="clear"/>
            <w:vAlign w:val="center"/>
          </w:tcPr>
          <w:p>
            <w:pPr>
              <w:pStyle w:val="TableContents"/>
              <w:bidi w:val="0"/>
              <w:spacing w:before="0" w:after="283"/>
              <w:jc w:val="left"/>
            </w:pPr>
            <w:r>
              <w:t> </w:t>
            </w:r>
          </w:p>
        </w:tc>
        <w:tc>
          <w:tcPr>
            <w:tcW w:w="138" w:type="dxa"/>
            <w:tcBorders>
              <w:top w:val="single" w:sz="2" w:space="0" w:color="000000"/>
            </w:tcBorders>
            <w:shd w:fill="FFFFFF" w:val="clear"/>
            <w:tcMar>
              <w:top w:w="28" w:type="dxa"/>
            </w:tcMar>
            <w:vAlign w:val="center"/>
          </w:tcPr>
          <w:p>
            <w:pPr>
              <w:pStyle w:val="TableContents"/>
              <w:bidi w:val="0"/>
              <w:spacing w:before="0" w:after="283"/>
              <w:ind w:left="0" w:right="0" w:hanging="0"/>
              <w:jc w:val="left"/>
            </w:pPr>
            <w:r>
              <w:t> </w:t>
            </w:r>
          </w:p>
        </w:tc>
        <w:tc>
          <w:tcPr>
            <w:tcW w:w="603"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8" w:type="dxa"/>
            <w:tcBorders>
              <w:top w:val="single" w:sz="2" w:space="0" w:color="000000"/>
            </w:tcBorders>
            <w:shd w:fill="FFFFFF" w:val="clear"/>
            <w:tcMar>
              <w:top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top w:val="single" w:sz="2" w:space="0" w:color="000000"/>
            </w:tcBorders>
            <w:shd w:fill="FFFFFF" w:val="clear"/>
            <w:tcMar>
              <w:top w:w="28" w:type="dxa"/>
            </w:tcMar>
            <w:vAlign w:val="center"/>
          </w:tcPr>
          <w:p>
            <w:pPr>
              <w:pStyle w:val="TableContents"/>
              <w:bidi w:val="0"/>
              <w:spacing w:before="0" w:after="283"/>
              <w:ind w:left="0" w:right="0" w:hanging="0"/>
              <w:jc w:val="left"/>
            </w:pPr>
            <w:r>
              <w:t> </w:t>
            </w:r>
          </w:p>
        </w:tc>
        <w:tc>
          <w:tcPr>
            <w:tcW w:w="603"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top w:val="single" w:sz="2" w:space="0" w:color="000000"/>
            </w:tcBorders>
            <w:shd w:fill="FFFFFF" w:val="clear"/>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operating activities from discontinued operations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FFFFFF" w:val="clear"/>
            <w:vAlign w:val="center"/>
          </w:tcPr>
          <w:p>
            <w:pPr>
              <w:pStyle w:val="TableContents"/>
              <w:bidi w:val="0"/>
              <w:spacing w:before="0" w:after="283"/>
              <w:jc w:val="left"/>
            </w:pPr>
            <w: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investments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of undesignated derivatives</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88"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 from continuing operations</w:t>
            </w:r>
          </w:p>
        </w:tc>
        <w:tc>
          <w:tcPr>
            <w:tcW w:w="60" w:type="dxa"/>
            <w:tcBorders/>
            <w:shd w:fill="FFFFFF" w:val="clear"/>
            <w:vAlign w:val="center"/>
          </w:tcPr>
          <w:p>
            <w:pPr>
              <w:pStyle w:val="TableContents"/>
              <w:bidi w:val="0"/>
              <w:spacing w:before="0" w:after="0"/>
              <w:ind w:left="0" w:right="0" w:hanging="0"/>
              <w:jc w:val="left"/>
            </w:pPr>
            <w:r>
              <w:t> </w:t>
            </w:r>
          </w:p>
        </w:tc>
        <w:tc>
          <w:tcPr>
            <w:tcW w:w="138" w:type="dxa"/>
            <w:tcBorders/>
            <w:shd w:fill="FFFFFF" w:val="clear"/>
            <w:vAlign w:val="center"/>
          </w:tcPr>
          <w:p>
            <w:pPr>
              <w:pStyle w:val="TableContents"/>
              <w:bidi w:val="0"/>
              <w:spacing w:before="0" w:after="0"/>
              <w:ind w:left="0" w:right="0" w:hanging="0"/>
              <w:jc w:val="left"/>
            </w:pPr>
            <w:r>
              <w:t> </w:t>
            </w:r>
          </w:p>
        </w:tc>
        <w:tc>
          <w:tcPr>
            <w:tcW w:w="60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8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0"/>
              <w:ind w:left="0" w:right="0" w:hanging="0"/>
              <w:jc w:val="left"/>
            </w:pPr>
            <w:r>
              <w:t> </w:t>
            </w:r>
          </w:p>
        </w:tc>
        <w:tc>
          <w:tcPr>
            <w:tcW w:w="138" w:type="dxa"/>
            <w:tcBorders/>
            <w:shd w:fill="FFFFFF" w:val="clear"/>
            <w:vAlign w:val="center"/>
          </w:tcPr>
          <w:p>
            <w:pPr>
              <w:pStyle w:val="TableContents"/>
              <w:bidi w:val="0"/>
              <w:spacing w:before="0" w:after="0"/>
              <w:ind w:left="0" w:right="0" w:hanging="0"/>
              <w:jc w:val="left"/>
            </w:pPr>
            <w:r>
              <w:t> </w:t>
            </w:r>
          </w:p>
        </w:tc>
        <w:tc>
          <w:tcPr>
            <w:tcW w:w="60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 from discontinued operations</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0"/>
              <w:ind w:left="0" w:right="0" w:hanging="0"/>
              <w:jc w:val="left"/>
            </w:pPr>
            <w: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w:t>
            </w:r>
          </w:p>
        </w:tc>
        <w:tc>
          <w:tcPr>
            <w:tcW w:w="88" w:type="dxa"/>
            <w:tcBorders/>
            <w:shd w:fill="CCEEFF" w:val="clear"/>
            <w:vAlign w:val="center"/>
          </w:tcPr>
          <w:p>
            <w:pPr>
              <w:pStyle w:val="TableContents"/>
              <w:bidi w:val="0"/>
              <w:spacing w:before="0" w:after="0"/>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0"/>
              <w:ind w:left="0" w:right="0" w:hanging="0"/>
              <w:jc w:val="left"/>
            </w:pPr>
            <w: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60" w:type="dxa"/>
            <w:tcBorders/>
            <w:shd w:fill="FFFFFF" w:val="clear"/>
            <w:vAlign w:val="center"/>
          </w:tcPr>
          <w:p>
            <w:pPr>
              <w:pStyle w:val="TableContents"/>
              <w:bidi w:val="0"/>
              <w:spacing w:before="0" w:after="283"/>
              <w:jc w:val="left"/>
            </w:pPr>
            <w: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w:t>
            </w:r>
          </w:p>
        </w:tc>
        <w:tc>
          <w:tcPr>
            <w:tcW w:w="8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debt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4,920</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debt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long-term debt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(1,821</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premium on debt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payments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to common stockholders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noncontrolling interests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mandatorily redeemable noncontrolling interest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Swap settlements</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pPr>
            <w:r>
              <w:rPr>
                <w:rStyle w:val="Emphasis"/>
              </w:rPr>
              <w:t> </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0"/>
              <w:ind w:left="0" w:right="0" w:hanging="0"/>
              <w:jc w:val="left"/>
            </w:pPr>
            <w:r>
              <w:t> </w:t>
            </w:r>
          </w:p>
        </w:tc>
        <w:tc>
          <w:tcPr>
            <w:tcW w:w="138" w:type="dxa"/>
            <w:tcBorders/>
            <w:shd w:fill="FFFFFF" w:val="clear"/>
            <w:vAlign w:val="center"/>
          </w:tcPr>
          <w:p>
            <w:pPr>
              <w:pStyle w:val="TableContents"/>
              <w:bidi w:val="0"/>
              <w:spacing w:before="0" w:after="0"/>
              <w:ind w:left="0" w:right="0" w:hanging="0"/>
              <w:jc w:val="left"/>
            </w:pPr>
            <w:r>
              <w:t> </w:t>
            </w:r>
          </w:p>
        </w:tc>
        <w:tc>
          <w:tcPr>
            <w:tcW w:w="60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8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0"/>
              <w:ind w:left="0" w:right="0" w:hanging="0"/>
              <w:jc w:val="left"/>
            </w:pPr>
            <w:r>
              <w:t> </w:t>
            </w:r>
          </w:p>
        </w:tc>
        <w:tc>
          <w:tcPr>
            <w:tcW w:w="138" w:type="dxa"/>
            <w:tcBorders/>
            <w:shd w:fill="FFFFFF" w:val="clear"/>
            <w:vAlign w:val="center"/>
          </w:tcPr>
          <w:p>
            <w:pPr>
              <w:pStyle w:val="TableContents"/>
              <w:bidi w:val="0"/>
              <w:spacing w:before="0" w:after="0"/>
              <w:ind w:left="0" w:right="0" w:hanging="0"/>
              <w:jc w:val="left"/>
            </w:pPr>
            <w:r>
              <w:t> </w:t>
            </w:r>
          </w:p>
        </w:tc>
        <w:tc>
          <w:tcPr>
            <w:tcW w:w="60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60" w:type="dxa"/>
            <w:tcBorders/>
            <w:shd w:fill="CCEEFF" w:val="clear"/>
            <w:vAlign w:val="center"/>
          </w:tcPr>
          <w:p>
            <w:pPr>
              <w:pStyle w:val="TableContents"/>
              <w:bidi w:val="0"/>
              <w:spacing w:before="0" w:after="0"/>
              <w:ind w:left="0" w:right="0" w:hanging="0"/>
              <w:jc w:val="left"/>
            </w:pPr>
            <w:r>
              <w:t> </w:t>
            </w:r>
          </w:p>
        </w:tc>
        <w:tc>
          <w:tcPr>
            <w:tcW w:w="13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pPr>
            <w:r>
              <w:t> </w:t>
            </w:r>
          </w:p>
        </w:tc>
        <w:tc>
          <w:tcPr>
            <w:tcW w:w="60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c>
          <w:tcPr>
            <w:tcW w:w="8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0"/>
              <w:ind w:left="0" w:right="0" w:hanging="0"/>
              <w:jc w:val="left"/>
            </w:pPr>
            <w:r>
              <w:t> </w:t>
            </w:r>
          </w:p>
        </w:tc>
        <w:tc>
          <w:tcPr>
            <w:tcW w:w="13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pPr>
            <w:r>
              <w:t> </w:t>
            </w:r>
          </w:p>
        </w:tc>
        <w:tc>
          <w:tcPr>
            <w:tcW w:w="603"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 of period</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balances</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 end of period (Note 5)</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left"/>
            </w:pPr>
            <w:r>
              <w:t> </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603"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67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activity</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8"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jc w:val="left"/>
            </w:pPr>
            <w:r>
              <w:t> </w:t>
            </w:r>
          </w:p>
        </w:tc>
        <w:tc>
          <w:tcPr>
            <w:tcW w:w="603"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67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 held in accounts payable</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88"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7" w:name="notes"/>
      <w:bookmarkEnd w:id="7"/>
      <w:r>
        <w:rPr>
          <w:rFonts w:ascii="Times New Roman;Times;serif" w:hAnsi="Times New Roman;Times;serif"/>
          <w:b/>
          <w:sz w:val="20"/>
        </w:rPr>
        <w:t>Dana Incorporated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Notes to Consolidated Financial Statements</w:t>
      </w:r>
    </w:p>
    <w:p>
      <w:pPr>
        <w:pStyle w:val="TextBody"/>
        <w:bidi w:val="0"/>
        <w:spacing w:before="0" w:after="0"/>
        <w:ind w:left="0" w:right="0" w:hanging="0"/>
        <w:jc w:val="center"/>
      </w:pPr>
      <w:r>
        <w:t> </w:t>
      </w:r>
    </w:p>
    <w:p>
      <w:pPr>
        <w:pStyle w:val="TextBody"/>
        <w:bidi w:val="0"/>
        <w:spacing w:before="0" w:after="0"/>
        <w:ind w:left="0" w:right="0" w:hanging="0"/>
        <w:jc w:val="center"/>
      </w:pPr>
      <w:r>
        <w:t> </w:t>
      </w:r>
    </w:p>
    <w:tbl>
      <w:tblPr>
        <w:tblW w:w="5395" w:type="dxa"/>
        <w:jc w:val="left"/>
        <w:tblInd w:w="0" w:type="dxa"/>
        <w:tblLayout w:type="fixed"/>
        <w:tblCellMar>
          <w:top w:w="0" w:type="dxa"/>
          <w:left w:w="0" w:type="dxa"/>
          <w:bottom w:w="0" w:type="dxa"/>
          <w:right w:w="0" w:type="dxa"/>
        </w:tblCellMar>
      </w:tblPr>
      <w:tblGrid>
        <w:gridCol w:w="290"/>
        <w:gridCol w:w="5105"/>
      </w:tblGrid>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105" w:type="dxa"/>
            <w:tcBorders/>
            <w:vAlign w:val="center"/>
          </w:tcPr>
          <w:p>
            <w:pPr>
              <w:pStyle w:val="TableContents"/>
              <w:bidi w:val="0"/>
              <w:spacing w:before="0" w:after="0"/>
              <w:ind w:left="0" w:right="0" w:hanging="0"/>
              <w:jc w:val="left"/>
            </w:pPr>
            <w:hyperlink w:anchor="fn1">
              <w:r>
                <w:rPr>
                  <w:rStyle w:val="InternetLink"/>
                  <w:rFonts w:ascii="Times New Roman;Times;serif" w:hAnsi="Times New Roman;Times;serif"/>
                  <w:sz w:val="20"/>
                </w:rPr>
                <w:t>Organization and Summary of Significant Accounting Policies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05" w:type="dxa"/>
            <w:tcBorders/>
            <w:vAlign w:val="center"/>
          </w:tcPr>
          <w:p>
            <w:pPr>
              <w:pStyle w:val="TableContents"/>
              <w:bidi w:val="0"/>
              <w:spacing w:before="0" w:after="283"/>
              <w:jc w:val="left"/>
            </w:pPr>
            <w:hyperlink w:anchor="dicops">
              <w:r>
                <w:rPr>
                  <w:rStyle w:val="InternetLink"/>
                  <w:rFonts w:ascii="Times New Roman;Times;serif" w:hAnsi="Times New Roman;Times;serif"/>
                  <w:sz w:val="20"/>
                </w:rPr>
                <w:t>Discontinued Operations</w:t>
              </w:r>
            </w:hyperlink>
          </w:p>
        </w:tc>
      </w:tr>
      <w:tr>
        <w:tc>
          <w:tcPr>
            <w:tcW w:w="290" w:type="dxa"/>
            <w:tcBorders/>
            <w:vAlign w:val="center"/>
          </w:tcPr>
          <w:p>
            <w:pPr>
              <w:pStyle w:val="TableContents"/>
              <w:bidi w:val="0"/>
              <w:spacing w:before="0" w:after="283"/>
              <w:jc w:val="left"/>
            </w:pPr>
            <w:r>
              <w:t> </w:t>
            </w:r>
          </w:p>
        </w:tc>
        <w:tc>
          <w:tcPr>
            <w:tcW w:w="5105" w:type="dxa"/>
            <w:tcBorders/>
            <w:vAlign w:val="center"/>
          </w:tcPr>
          <w:p>
            <w:pPr>
              <w:pStyle w:val="TableContents"/>
              <w:bidi w:val="0"/>
              <w:spacing w:before="0" w:after="283"/>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105" w:type="dxa"/>
            <w:tcBorders/>
            <w:vAlign w:val="center"/>
          </w:tcPr>
          <w:p>
            <w:pPr>
              <w:pStyle w:val="TableContents"/>
              <w:bidi w:val="0"/>
              <w:spacing w:before="0" w:after="0"/>
              <w:ind w:left="0" w:right="0" w:hanging="0"/>
              <w:jc w:val="left"/>
            </w:pPr>
            <w:hyperlink w:anchor="fn3">
              <w:r>
                <w:rPr>
                  <w:rStyle w:val="InternetLink"/>
                  <w:rFonts w:ascii="Times New Roman;Times;serif" w:hAnsi="Times New Roman;Times;serif"/>
                  <w:sz w:val="20"/>
                </w:rPr>
                <w:t>Intangible Assets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105" w:type="dxa"/>
            <w:tcBorders/>
            <w:vAlign w:val="center"/>
          </w:tcPr>
          <w:p>
            <w:pPr>
              <w:pStyle w:val="TableContents"/>
              <w:bidi w:val="0"/>
              <w:spacing w:before="0" w:after="0"/>
              <w:ind w:left="0" w:right="0" w:hanging="0"/>
              <w:jc w:val="left"/>
            </w:pPr>
            <w:hyperlink w:anchor="fn4">
              <w:r>
                <w:rPr>
                  <w:rStyle w:val="InternetLink"/>
                  <w:rFonts w:ascii="Times New Roman;Times;serif" w:hAnsi="Times New Roman;Times;serif"/>
                  <w:sz w:val="20"/>
                </w:rPr>
                <w:t>Restructuring of Operations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105" w:type="dxa"/>
            <w:tcBorders/>
            <w:vAlign w:val="center"/>
          </w:tcPr>
          <w:p>
            <w:pPr>
              <w:pStyle w:val="TableContents"/>
              <w:bidi w:val="0"/>
              <w:spacing w:before="0" w:after="0"/>
              <w:ind w:left="0" w:right="0" w:hanging="0"/>
              <w:jc w:val="left"/>
            </w:pPr>
            <w:hyperlink w:anchor="fn5">
              <w:r>
                <w:rPr>
                  <w:rStyle w:val="InternetLink"/>
                  <w:rFonts w:ascii="Times New Roman;Times;serif" w:hAnsi="Times New Roman;Times;serif"/>
                  <w:sz w:val="20"/>
                </w:rPr>
                <w:t>Supplemental Balance Sheet and Cash Flow Information</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5105" w:type="dxa"/>
            <w:tcBorders/>
            <w:vAlign w:val="center"/>
          </w:tcPr>
          <w:p>
            <w:pPr>
              <w:pStyle w:val="TableContents"/>
              <w:bidi w:val="0"/>
              <w:spacing w:before="0" w:after="0"/>
              <w:ind w:left="0" w:right="0" w:hanging="0"/>
              <w:jc w:val="left"/>
            </w:pPr>
            <w:hyperlink w:anchor="fn6">
              <w:r>
                <w:rPr>
                  <w:rStyle w:val="InternetLink"/>
                  <w:rFonts w:ascii="Times New Roman;Times;serif" w:hAnsi="Times New Roman;Times;serif"/>
                  <w:sz w:val="20"/>
                </w:rPr>
                <w:t>Stockholders' Equity</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5105" w:type="dxa"/>
            <w:tcBorders/>
            <w:vAlign w:val="center"/>
          </w:tcPr>
          <w:p>
            <w:pPr>
              <w:pStyle w:val="TableContents"/>
              <w:bidi w:val="0"/>
              <w:spacing w:before="0" w:after="0"/>
              <w:ind w:left="0" w:right="0" w:hanging="0"/>
              <w:jc w:val="left"/>
            </w:pPr>
            <w:hyperlink w:anchor="fn8">
              <w:r>
                <w:rPr>
                  <w:rStyle w:val="InternetLink"/>
                  <w:rFonts w:ascii="Times New Roman;Times;serif" w:hAnsi="Times New Roman;Times;serif"/>
                  <w:sz w:val="20"/>
                </w:rPr>
                <w:t>Earnings per Share</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5105" w:type="dxa"/>
            <w:tcBorders/>
            <w:vAlign w:val="center"/>
          </w:tcPr>
          <w:p>
            <w:pPr>
              <w:pStyle w:val="TableContents"/>
              <w:bidi w:val="0"/>
              <w:spacing w:before="0" w:after="0"/>
              <w:ind w:left="0" w:right="0" w:hanging="0"/>
              <w:jc w:val="left"/>
            </w:pPr>
            <w:hyperlink w:anchor="fn9">
              <w:r>
                <w:rPr>
                  <w:rStyle w:val="InternetLink"/>
                  <w:rFonts w:ascii="Times New Roman;Times;serif" w:hAnsi="Times New Roman;Times;serif"/>
                  <w:sz w:val="20"/>
                </w:rPr>
                <w:t>Stock Compensation</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5105" w:type="dxa"/>
            <w:tcBorders/>
            <w:vAlign w:val="center"/>
          </w:tcPr>
          <w:p>
            <w:pPr>
              <w:pStyle w:val="TableContents"/>
              <w:bidi w:val="0"/>
              <w:spacing w:before="0" w:after="0"/>
              <w:ind w:left="0" w:right="0" w:hanging="0"/>
              <w:jc w:val="left"/>
            </w:pPr>
            <w:hyperlink w:anchor="fn10">
              <w:r>
                <w:rPr>
                  <w:rStyle w:val="InternetLink"/>
                  <w:rFonts w:ascii="Times New Roman;Times;serif" w:hAnsi="Times New Roman;Times;serif"/>
                  <w:sz w:val="20"/>
                </w:rPr>
                <w:t>Pension and Postretirement Benefit Plans</w:t>
              </w:r>
            </w:hyperlink>
          </w:p>
        </w:tc>
      </w:tr>
      <w:tr>
        <w:tc>
          <w:tcPr>
            <w:tcW w:w="290" w:type="dxa"/>
            <w:tcBorders/>
            <w:vAlign w:val="center"/>
          </w:tcPr>
          <w:p>
            <w:pPr>
              <w:pStyle w:val="TableContents"/>
              <w:bidi w:val="0"/>
              <w:spacing w:before="0" w:after="283"/>
              <w:jc w:val="left"/>
            </w:pPr>
            <w:r>
              <w:t> </w:t>
            </w:r>
          </w:p>
        </w:tc>
        <w:tc>
          <w:tcPr>
            <w:tcW w:w="5105" w:type="dxa"/>
            <w:tcBorders/>
            <w:vAlign w:val="center"/>
          </w:tcPr>
          <w:p>
            <w:pPr>
              <w:pStyle w:val="TableContents"/>
              <w:bidi w:val="0"/>
              <w:spacing w:before="0" w:after="283"/>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5105" w:type="dxa"/>
            <w:tcBorders/>
            <w:vAlign w:val="center"/>
          </w:tcPr>
          <w:p>
            <w:pPr>
              <w:pStyle w:val="TableContents"/>
              <w:bidi w:val="0"/>
              <w:spacing w:before="0" w:after="0"/>
              <w:ind w:left="0" w:right="0" w:hanging="0"/>
              <w:jc w:val="left"/>
            </w:pPr>
            <w:hyperlink w:anchor="fn11">
              <w:r>
                <w:rPr>
                  <w:rStyle w:val="InternetLink"/>
                  <w:rFonts w:ascii="Times New Roman;Times;serif" w:hAnsi="Times New Roman;Times;serif"/>
                  <w:sz w:val="20"/>
                </w:rPr>
                <w:t>Financing Agreements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5105" w:type="dxa"/>
            <w:tcBorders/>
            <w:vAlign w:val="center"/>
          </w:tcPr>
          <w:p>
            <w:pPr>
              <w:pStyle w:val="TableContents"/>
              <w:bidi w:val="0"/>
              <w:spacing w:before="0" w:after="0"/>
              <w:ind w:left="0" w:right="0" w:hanging="0"/>
              <w:jc w:val="left"/>
            </w:pPr>
            <w:hyperlink w:anchor="fn12">
              <w:r>
                <w:rPr>
                  <w:rStyle w:val="InternetLink"/>
                  <w:rFonts w:ascii="Times New Roman;Times;serif" w:hAnsi="Times New Roman;Times;serif"/>
                  <w:sz w:val="20"/>
                </w:rPr>
                <w:t>Fair Value Measurements and Derivatives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5105" w:type="dxa"/>
            <w:tcBorders/>
            <w:vAlign w:val="center"/>
          </w:tcPr>
          <w:p>
            <w:pPr>
              <w:pStyle w:val="TableContents"/>
              <w:bidi w:val="0"/>
              <w:spacing w:before="0" w:after="0"/>
              <w:ind w:left="0" w:right="0" w:hanging="0"/>
              <w:jc w:val="left"/>
            </w:pPr>
            <w:hyperlink w:anchor="fn13">
              <w:r>
                <w:rPr>
                  <w:rStyle w:val="InternetLink"/>
                  <w:rFonts w:ascii="Times New Roman;Times;serif" w:hAnsi="Times New Roman;Times;serif"/>
                  <w:sz w:val="20"/>
                </w:rPr>
                <w:t>Commitments and Contingencies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w:t>
            </w:r>
          </w:p>
        </w:tc>
        <w:tc>
          <w:tcPr>
            <w:tcW w:w="5105" w:type="dxa"/>
            <w:tcBorders/>
            <w:vAlign w:val="center"/>
          </w:tcPr>
          <w:p>
            <w:pPr>
              <w:pStyle w:val="TableContents"/>
              <w:bidi w:val="0"/>
              <w:spacing w:before="0" w:after="0"/>
              <w:ind w:left="0" w:right="0" w:hanging="0"/>
              <w:jc w:val="left"/>
            </w:pPr>
            <w:hyperlink w:anchor="fn14">
              <w:r>
                <w:rPr>
                  <w:rStyle w:val="InternetLink"/>
                  <w:rFonts w:ascii="Times New Roman;Times;serif" w:hAnsi="Times New Roman;Times;serif"/>
                  <w:sz w:val="20"/>
                </w:rPr>
                <w:t>Warranty Obligations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w:t>
            </w:r>
          </w:p>
        </w:tc>
        <w:tc>
          <w:tcPr>
            <w:tcW w:w="5105" w:type="dxa"/>
            <w:tcBorders/>
            <w:vAlign w:val="center"/>
          </w:tcPr>
          <w:p>
            <w:pPr>
              <w:pStyle w:val="TableContents"/>
              <w:bidi w:val="0"/>
              <w:spacing w:before="0" w:after="0"/>
              <w:ind w:left="0" w:right="0" w:hanging="0"/>
              <w:jc w:val="left"/>
            </w:pPr>
            <w:hyperlink w:anchor="fn15">
              <w:r>
                <w:rPr>
                  <w:rStyle w:val="InternetLink"/>
                  <w:rFonts w:ascii="Times New Roman;Times;serif" w:hAnsi="Times New Roman;Times;serif"/>
                  <w:sz w:val="20"/>
                </w:rPr>
                <w:t>Income Taxes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w:t>
            </w:r>
          </w:p>
        </w:tc>
        <w:tc>
          <w:tcPr>
            <w:tcW w:w="5105" w:type="dxa"/>
            <w:tcBorders/>
            <w:vAlign w:val="center"/>
          </w:tcPr>
          <w:p>
            <w:pPr>
              <w:pStyle w:val="TableContents"/>
              <w:bidi w:val="0"/>
              <w:spacing w:before="0" w:after="0"/>
              <w:ind w:left="0" w:right="0" w:hanging="0"/>
              <w:jc w:val="left"/>
            </w:pPr>
            <w:hyperlink w:anchor="fn16">
              <w:r>
                <w:rPr>
                  <w:rStyle w:val="InternetLink"/>
                  <w:rFonts w:ascii="Times New Roman;Times;serif" w:hAnsi="Times New Roman;Times;serif"/>
                  <w:sz w:val="20"/>
                </w:rPr>
                <w:t>Other Income (Expense), Net</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w:t>
            </w:r>
          </w:p>
        </w:tc>
        <w:tc>
          <w:tcPr>
            <w:tcW w:w="5105" w:type="dxa"/>
            <w:tcBorders/>
            <w:vAlign w:val="center"/>
          </w:tcPr>
          <w:p>
            <w:pPr>
              <w:pStyle w:val="TableContents"/>
              <w:bidi w:val="0"/>
              <w:spacing w:before="0" w:after="0"/>
              <w:ind w:left="0" w:right="0" w:hanging="0"/>
              <w:jc w:val="left"/>
            </w:pPr>
            <w:hyperlink w:anchor="fn17">
              <w:r>
                <w:rPr>
                  <w:rStyle w:val="InternetLink"/>
                  <w:rFonts w:ascii="Times New Roman;Times;serif" w:hAnsi="Times New Roman;Times;serif"/>
                  <w:sz w:val="20"/>
                </w:rPr>
                <w:t>Revenue from Contracts with Customers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17.</w:t>
            </w:r>
          </w:p>
        </w:tc>
        <w:tc>
          <w:tcPr>
            <w:tcW w:w="5105" w:type="dxa"/>
            <w:tcBorders/>
            <w:vAlign w:val="center"/>
          </w:tcPr>
          <w:p>
            <w:pPr>
              <w:pStyle w:val="TableContents"/>
              <w:bidi w:val="0"/>
              <w:spacing w:before="0" w:after="0"/>
              <w:ind w:left="0" w:right="0" w:hanging="0"/>
              <w:jc w:val="left"/>
            </w:pPr>
            <w:hyperlink w:anchor="fn18">
              <w:r>
                <w:rPr>
                  <w:rStyle w:val="InternetLink"/>
                  <w:rFonts w:ascii="Times New Roman;Times;serif" w:hAnsi="Times New Roman;Times;serif"/>
                  <w:sz w:val="20"/>
                </w:rPr>
                <w:t>Segments</w:t>
              </w:r>
            </w:hyperlink>
          </w:p>
        </w:tc>
      </w:tr>
      <w:tr>
        <w:tc>
          <w:tcPr>
            <w:tcW w:w="290" w:type="dxa"/>
            <w:tcBorders/>
            <w:vAlign w:val="center"/>
          </w:tcPr>
          <w:p>
            <w:pPr>
              <w:pStyle w:val="TableContents"/>
              <w:bidi w:val="0"/>
              <w:spacing w:before="0" w:after="0"/>
              <w:ind w:left="0" w:right="0" w:hanging="0"/>
              <w:jc w:val="left"/>
            </w:pPr>
            <w:r>
              <w:t> </w:t>
            </w:r>
          </w:p>
        </w:tc>
        <w:tc>
          <w:tcPr>
            <w:tcW w:w="5105" w:type="dxa"/>
            <w:tcBorders/>
            <w:vAlign w:val="center"/>
          </w:tcPr>
          <w:p>
            <w:pPr>
              <w:pStyle w:val="TableContents"/>
              <w:bidi w:val="0"/>
              <w:spacing w:before="0" w:after="0"/>
              <w:ind w:left="0" w:right="0" w:hanging="0"/>
              <w:jc w:val="left"/>
            </w:pPr>
            <w:r>
              <w:t> </w:t>
            </w:r>
          </w:p>
        </w:tc>
      </w:tr>
      <w:tr>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5105" w:type="dxa"/>
            <w:tcBorders/>
            <w:vAlign w:val="center"/>
          </w:tcPr>
          <w:p>
            <w:pPr>
              <w:pStyle w:val="TableContents"/>
              <w:bidi w:val="0"/>
              <w:spacing w:before="0" w:after="0"/>
              <w:ind w:left="0" w:right="0" w:hanging="0"/>
              <w:jc w:val="left"/>
            </w:pPr>
            <w:hyperlink w:anchor="fn19">
              <w:r>
                <w:rPr>
                  <w:rStyle w:val="InternetLink"/>
                  <w:rFonts w:ascii="Times New Roman;Times;serif" w:hAnsi="Times New Roman;Times;serif"/>
                  <w:sz w:val="20"/>
                </w:rPr>
                <w:t>Equity Affiliates</w:t>
              </w:r>
            </w:hyperlink>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 except share and per share amounts)</w:t>
      </w:r>
    </w:p>
    <w:p>
      <w:pPr>
        <w:pStyle w:val="TextBody"/>
        <w:bidi w:val="0"/>
        <w:spacing w:before="0" w:after="283"/>
        <w:jc w:val="left"/>
      </w:pPr>
      <w:r>
        <w:t xml:space="preserve">  </w:t>
      </w:r>
    </w:p>
    <w:p>
      <w:pPr>
        <w:pStyle w:val="TextBody"/>
        <w:bidi w:val="0"/>
        <w:spacing w:before="0" w:after="0"/>
        <w:ind w:left="0" w:right="0" w:hanging="0"/>
        <w:jc w:val="left"/>
      </w:pPr>
      <w:bookmarkStart w:id="8" w:name="fn1"/>
      <w:bookmarkEnd w:id="8"/>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Organization and Summary of Significant Accounting Policies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Dana Incorporated (Dana) is headquartered in Maumee, Ohio and was incorporated in Delaware in </w:t>
      </w:r>
      <w:r>
        <w:rPr>
          <w:rStyle w:val="Emphasis"/>
          <w:rFonts w:ascii="Times New Roman;Times;serif" w:hAnsi="Times New Roman;Times;serif"/>
          <w:sz w:val="20"/>
        </w:rPr>
        <w:t>2007.</w:t>
      </w:r>
      <w:r>
        <w:rPr>
          <w:rFonts w:ascii="Times New Roman;Times;serif" w:hAnsi="Times New Roman;Times;serif"/>
          <w:sz w:val="20"/>
        </w:rPr>
        <w:t xml:space="preserve"> Dana is a global provider of high technology driveline (axles, driveshafts and transmissions); sealing and thermal-management products; and motors, power inverters, and control systems for electric vehicles with a customer base that includes virtually every major on-highway vehicle manufacturer in the world.</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terms "Dana," "we," "our" and "us," when used in this report, are references to Dana. These references include the subsidiaries of Dana unless otherwise indicated or the context requires otherwise.</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Summary of significant accounting policies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Basis of presentation</w:t>
      </w:r>
      <w:r>
        <w:rPr>
          <w:rFonts w:ascii="Times New Roman;Times;serif" w:hAnsi="Times New Roman;Times;serif"/>
          <w:sz w:val="20"/>
        </w:rPr>
        <w:t xml:space="preserve"> — Our consolidated financial statements are prepared in accordance with accounting principles generally accepted in the United States (GAAP) for interim financial information. These statements are unaudited, but in the opinion of management include all adjustments (consisting only of normal recurring adjustments) necessary for a fair statement of the results for the interim periods. The results reported in these consolidated financial statements should </w:t>
      </w:r>
      <w:r>
        <w:rPr>
          <w:rStyle w:val="Emphasis"/>
          <w:rFonts w:ascii="Times New Roman;Times;serif" w:hAnsi="Times New Roman;Times;serif"/>
          <w:sz w:val="20"/>
        </w:rPr>
        <w:t>not</w:t>
      </w:r>
      <w:r>
        <w:rPr>
          <w:rFonts w:ascii="Times New Roman;Times;serif" w:hAnsi="Times New Roman;Times;serif"/>
          <w:sz w:val="20"/>
        </w:rPr>
        <w:t xml:space="preserve"> necessarily be taken as indicative of results that </w:t>
      </w:r>
      <w:r>
        <w:rPr>
          <w:rStyle w:val="Emphasis"/>
          <w:rFonts w:ascii="Times New Roman;Times;serif" w:hAnsi="Times New Roman;Times;serif"/>
          <w:sz w:val="20"/>
        </w:rPr>
        <w:t xml:space="preserve">may </w:t>
      </w:r>
      <w:r>
        <w:rPr>
          <w:rFonts w:ascii="Times New Roman;Times;serif" w:hAnsi="Times New Roman;Times;serif"/>
          <w:sz w:val="20"/>
        </w:rPr>
        <w:t xml:space="preserve">be expected for the entire year. The financial information included herein should be read in conjunction with the consolidated financial statements in Item </w:t>
      </w:r>
      <w:r>
        <w:rPr>
          <w:rStyle w:val="Emphasis"/>
          <w:rFonts w:ascii="Times New Roman;Times;serif" w:hAnsi="Times New Roman;Times;serif"/>
          <w:sz w:val="20"/>
        </w:rPr>
        <w:t>8</w:t>
      </w:r>
      <w:r>
        <w:rPr>
          <w:rFonts w:ascii="Times New Roman;Times;serif" w:hAnsi="Times New Roman;Times;serif"/>
          <w:sz w:val="20"/>
        </w:rPr>
        <w:t xml:space="preserve"> of our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year ended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(the </w:t>
      </w:r>
      <w:r>
        <w:rPr>
          <w:rStyle w:val="Emphasis"/>
          <w:rFonts w:ascii="Times New Roman;Times;serif" w:hAnsi="Times New Roman;Times;serif"/>
          <w:sz w:val="20"/>
        </w:rPr>
        <w:t>2025</w:t>
      </w:r>
      <w:r>
        <w:rPr>
          <w:rFonts w:ascii="Times New Roman;Times;serif" w:hAnsi="Times New Roman;Times;serif"/>
          <w:sz w:val="20"/>
        </w:rPr>
        <w:t xml:space="preserve"> Form </w:t>
      </w:r>
      <w:r>
        <w:rPr>
          <w:rStyle w:val="Emphasis"/>
          <w:rFonts w:ascii="Times New Roman;Times;serif" w:hAnsi="Times New Roman;Times;serif"/>
          <w:sz w:val="20"/>
        </w:rPr>
        <w:t>10</w:t>
      </w:r>
      <w:r>
        <w:rPr>
          <w:rFonts w:ascii="Times New Roman;Times;serif" w:hAnsi="Times New Roman;Times;serif"/>
          <w:sz w:val="20"/>
        </w:rPr>
        <w:t>-K). Certain prior year amounts have been reclassified to conform to the current presentation.</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we completed the previously announced sale of our Off-Highway business to Allison Transmission Holdings, Inc. The sale was consummated pursuant to the terms and conditions of the definitive agreement to sell that we entered in </w:t>
      </w:r>
      <w:r>
        <w:rPr>
          <w:rStyle w:val="Emphasis"/>
          <w:rFonts w:ascii="Times New Roman;Times;serif" w:hAnsi="Times New Roman;Times;serif"/>
          <w:sz w:val="20"/>
        </w:rPr>
        <w:t xml:space="preserve">June 2025. </w:t>
      </w:r>
      <w:r>
        <w:rPr>
          <w:rFonts w:ascii="Times New Roman;Times;serif" w:hAnsi="Times New Roman;Times;serif"/>
          <w:sz w:val="20"/>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Off-Highway business and determined that the conditions for discontinued operations presentation have been met. As such, the financial position, results of operations and cash flows of that business are reported as discontinued operations in the accompanying consolidated financial statements. Prior period amounts have been recast to reflect discontinued operations presentation.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w:t>
      </w:r>
    </w:p>
    <w:p>
      <w:pPr>
        <w:pStyle w:val="TextBody"/>
        <w:bidi w:val="0"/>
        <w:spacing w:before="0" w:after="0"/>
        <w:ind w:left="0" w:right="0" w:firstLine="360"/>
        <w:jc w:val="left"/>
      </w:pPr>
      <w:r>
        <w:t> </w:t>
      </w:r>
    </w:p>
    <w:p>
      <w:pPr>
        <w:pStyle w:val="TextBody"/>
        <w:bidi w:val="0"/>
        <w:spacing w:before="0" w:after="0"/>
        <w:ind w:left="0" w:right="0" w:firstLine="360"/>
        <w:jc w:val="cente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i/>
          <w:caps w:val="false"/>
          <w:smallCaps w:val="false"/>
          <w:sz w:val="20"/>
        </w:rPr>
        <w:t>Revision of previously issued financial statements </w:t>
      </w:r>
      <w:r>
        <w:rPr>
          <w:rFonts w:ascii="Times New Roman;Times;serif" w:hAnsi="Times New Roman;Times;serif"/>
          <w:caps w:val="false"/>
          <w:smallCaps w:val="false"/>
          <w:sz w:val="20"/>
        </w:rPr>
        <w:t xml:space="preserve">— In the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identified an error in the historical presentation of certain borrowings and repayments of short-term debt that did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qualify for net presentation in our previously issued Consolidated Statement of Cash Flows. We now present these borrowings and repayments of short-term debt, including our Revolving Facility and short duration term loans, on a gross basis within cash flows from financing activities. See Note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for additional information. We determined that the correction of these errors, which had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impact on cash flows provided by (used in) financing activities, were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material to any prior annual or interim periods and therefore, the amendment of any previously issued financial statements impacted by the errors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required. The Company will revise its Consolidated Statement of Cash Flows for the years ended </w:t>
      </w:r>
      <w:r>
        <w:rPr>
          <w:rStyle w:val="Emphasis"/>
          <w:rFonts w:ascii="Times New Roman;Times;serif" w:hAnsi="Times New Roman;Times;serif"/>
          <w:caps w:val="false"/>
          <w:smallCaps w:val="false"/>
          <w:sz w:val="20"/>
        </w:rPr>
        <w:t xml:space="preserve">December 31, 2025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and for the impacted quarterly periods, when the impacted periods are presented as comparative periods in future filings.</w:t>
      </w:r>
    </w:p>
    <w:p>
      <w:pPr>
        <w:pStyle w:val="TextBody"/>
        <w:bidi w:val="0"/>
        <w:spacing w:before="0" w:after="0"/>
        <w:ind w:left="0" w:right="0" w:hanging="0"/>
        <w:jc w:val="left"/>
        <w:rPr>
          <w:caps w:val="false"/>
          <w:smallCaps w:val="false"/>
        </w:rPr>
      </w:pPr>
      <w:r>
        <w:rPr>
          <w:caps w:val="false"/>
          <w:smallCaps w:val="false"/>
        </w:rPr>
        <w:t> </w:t>
      </w:r>
    </w:p>
    <w:tbl>
      <w:tblPr>
        <w:tblW w:w="8406" w:type="dxa"/>
        <w:jc w:val="left"/>
        <w:tblInd w:w="0" w:type="dxa"/>
        <w:tblLayout w:type="fixed"/>
        <w:tblCellMar>
          <w:top w:w="0" w:type="dxa"/>
          <w:left w:w="0" w:type="dxa"/>
          <w:bottom w:w="0" w:type="dxa"/>
          <w:right w:w="0" w:type="dxa"/>
        </w:tblCellMar>
      </w:tblPr>
      <w:tblGrid>
        <w:gridCol w:w="4115"/>
        <w:gridCol w:w="60"/>
        <w:gridCol w:w="359"/>
        <w:gridCol w:w="1565"/>
        <w:gridCol w:w="94"/>
        <w:gridCol w:w="70"/>
        <w:gridCol w:w="188"/>
        <w:gridCol w:w="822"/>
        <w:gridCol w:w="94"/>
        <w:gridCol w:w="70"/>
        <w:gridCol w:w="165"/>
        <w:gridCol w:w="724"/>
        <w:gridCol w:w="80"/>
      </w:tblGrid>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Six Months Ended June 30, 2026</w:t>
            </w:r>
          </w:p>
        </w:tc>
        <w:tc>
          <w:tcPr>
            <w:tcW w:w="80" w:type="dxa"/>
            <w:tcBorders/>
            <w:shd w:fill="FFFF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CCEEFF" w:val="clear"/>
            <w:vAlign w:val="center"/>
          </w:tcPr>
          <w:p>
            <w:pPr>
              <w:pStyle w:val="TableContents"/>
              <w:bidi w:val="0"/>
              <w:spacing w:before="0" w:after="283"/>
              <w:ind w:left="0" w:right="0" w:hanging="0"/>
              <w:jc w:val="left"/>
            </w:pPr>
            <w: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pPr>
            <w: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ind w:left="0" w:right="0" w:hanging="0"/>
              <w:jc w:val="left"/>
            </w:pPr>
            <w:r>
              <w:t> </w:t>
            </w:r>
          </w:p>
        </w:tc>
        <w:tc>
          <w:tcPr>
            <w:tcW w:w="1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 March 31, 2026</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FFFFFF" w:val="clear"/>
            <w:vAlign w:val="center"/>
          </w:tcPr>
          <w:p>
            <w:pPr>
              <w:pStyle w:val="TableContents"/>
              <w:bidi w:val="0"/>
              <w:spacing w:before="0" w:after="283"/>
              <w:ind w:left="0" w:right="0" w:hanging="0"/>
              <w:jc w:val="left"/>
            </w:pPr>
            <w:r>
              <w:t> </w:t>
            </w:r>
          </w:p>
        </w:tc>
        <w:tc>
          <w:tcPr>
            <w:tcW w:w="3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pPr>
            <w: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ind w:left="0" w:right="0" w:hanging="0"/>
              <w:jc w:val="left"/>
            </w:pPr>
            <w:r>
              <w:t> </w:t>
            </w:r>
          </w:p>
        </w:tc>
        <w:tc>
          <w:tcPr>
            <w:tcW w:w="1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Year Ended 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FFFFFF" w:val="clear"/>
            <w:vAlign w:val="center"/>
          </w:tcPr>
          <w:p>
            <w:pPr>
              <w:pStyle w:val="TableContents"/>
              <w:bidi w:val="0"/>
              <w:spacing w:before="0" w:after="283"/>
              <w:ind w:left="0" w:right="0" w:hanging="0"/>
              <w:jc w:val="left"/>
            </w:pPr>
            <w:r>
              <w:t> </w:t>
            </w:r>
          </w:p>
        </w:tc>
        <w:tc>
          <w:tcPr>
            <w:tcW w:w="3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pPr>
            <w: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ind w:left="0" w:right="0" w:hanging="0"/>
              <w:jc w:val="left"/>
            </w:pPr>
            <w:r>
              <w:t> </w:t>
            </w:r>
          </w:p>
        </w:tc>
        <w:tc>
          <w:tcPr>
            <w:tcW w:w="1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 September 30, 2025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CCEEFF" w:val="clear"/>
            <w:vAlign w:val="center"/>
          </w:tcPr>
          <w:p>
            <w:pPr>
              <w:pStyle w:val="TableContents"/>
              <w:bidi w:val="0"/>
              <w:spacing w:before="0" w:after="283"/>
              <w:ind w:left="0" w:right="0" w:hanging="0"/>
              <w:jc w:val="left"/>
            </w:pPr>
            <w:r>
              <w:t> </w:t>
            </w:r>
          </w:p>
        </w:tc>
        <w:tc>
          <w:tcPr>
            <w:tcW w:w="3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pPr>
            <w: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ind w:left="0" w:right="0" w:hanging="0"/>
              <w:jc w:val="left"/>
            </w:pPr>
            <w: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4,920</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(4,298</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ind w:left="0" w:right="0" w:hanging="0"/>
              <w:jc w:val="left"/>
            </w:pPr>
            <w:r>
              <w:t> </w:t>
            </w:r>
          </w:p>
        </w:tc>
        <w:tc>
          <w:tcPr>
            <w:tcW w:w="1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ind w:left="0" w:right="0" w:hanging="0"/>
              <w:jc w:val="left"/>
            </w:pPr>
            <w: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Six Months Ended June 30, 2025</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ind w:left="0" w:right="0" w:hanging="0"/>
              <w:jc w:val="left"/>
            </w:pPr>
            <w: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ind w:left="0" w:right="0" w:hanging="0"/>
              <w:jc w:val="left"/>
            </w:pPr>
            <w:r>
              <w:t> </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(2,378</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 March 31, 2025</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70" w:type="dxa"/>
            <w:tcBorders/>
            <w:shd w:fill="FFFF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jc w:val="right"/>
            </w:pPr>
            <w:r>
              <w:rPr>
                <w:rStyle w:val="Emphasis"/>
              </w:rPr>
              <w:t>—</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Year Ended December 31,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2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Previously Reported</w:t>
            </w:r>
          </w:p>
        </w:tc>
        <w:tc>
          <w:tcPr>
            <w:tcW w:w="94"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Adjustments</w:t>
            </w:r>
          </w:p>
        </w:tc>
        <w:tc>
          <w:tcPr>
            <w:tcW w:w="94"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70" w:type="dxa"/>
            <w:tcBorders/>
            <w:shd w:fill="CCEEFF" w:val="clear"/>
            <w:vAlign w:val="center"/>
          </w:tcPr>
          <w:p>
            <w:pPr>
              <w:pStyle w:val="TableContents"/>
              <w:bidi w:val="0"/>
              <w:spacing w:before="0" w:after="283"/>
              <w:ind w:left="0" w:right="0" w:hanging="0"/>
              <w:jc w:val="left"/>
            </w:pPr>
            <w:r>
              <w:t> </w:t>
            </w:r>
          </w:p>
        </w:tc>
        <w:tc>
          <w:tcPr>
            <w:tcW w:w="88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As Revised</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4" w:type="dxa"/>
            <w:tcBorders/>
            <w:shd w:fill="FFFFFF" w:val="clear"/>
            <w:vAlign w:val="center"/>
          </w:tcPr>
          <w:p>
            <w:pPr>
              <w:pStyle w:val="TableContents"/>
              <w:bidi w:val="0"/>
              <w:spacing w:before="0" w:after="283"/>
              <w:jc w:val="right"/>
            </w:pPr>
            <w:r>
              <w:rPr>
                <w:rStyle w:val="Emphasis"/>
              </w:rPr>
              <w:t>—</w:t>
            </w:r>
          </w:p>
        </w:tc>
        <w:tc>
          <w:tcPr>
            <w:tcW w:w="80" w:type="dxa"/>
            <w:tcBorders/>
            <w:shd w:fill="FFFFFF" w:val="clear"/>
            <w:vAlign w:val="center"/>
          </w:tcPr>
          <w:p>
            <w:pPr>
              <w:pStyle w:val="TableContents"/>
              <w:bidi w:val="0"/>
              <w:spacing w:before="0" w:after="283"/>
              <w:jc w:val="left"/>
            </w:pPr>
            <w:r>
              <w:t> </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short-term debt</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w:t>
            </w:r>
          </w:p>
        </w:tc>
        <w:tc>
          <w:tcPr>
            <w:tcW w:w="80" w:type="dxa"/>
            <w:tcBorders/>
            <w:shd w:fill="CCEEFF" w:val="clear"/>
            <w:vAlign w:val="center"/>
          </w:tcPr>
          <w:p>
            <w:pPr>
              <w:pStyle w:val="TableContents"/>
              <w:bidi w:val="0"/>
              <w:spacing w:before="0" w:after="283"/>
              <w:jc w:val="left"/>
            </w:pPr>
            <w:r>
              <w:t> </w:t>
            </w:r>
          </w:p>
        </w:tc>
      </w:tr>
      <w:t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debt</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right"/>
            </w:pPr>
            <w:r>
              <w:rPr>
                <w:rStyle w:val="Emphasis"/>
              </w:rP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(2,214</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pPr>
            <w:r>
              <w:t> </w:t>
            </w:r>
          </w:p>
        </w:tc>
        <w:tc>
          <w:tcPr>
            <w:tcW w:w="359" w:type="dxa"/>
            <w:tcBorders/>
            <w:shd w:fill="CCEEFF" w:val="clear"/>
            <w:vAlign w:val="center"/>
          </w:tcPr>
          <w:p>
            <w:pPr>
              <w:pStyle w:val="TableContents"/>
              <w:bidi w:val="0"/>
              <w:spacing w:before="0" w:after="283"/>
              <w:jc w:val="left"/>
            </w:pPr>
            <w:r>
              <w:t> </w:t>
            </w:r>
          </w:p>
        </w:tc>
        <w:tc>
          <w:tcPr>
            <w:tcW w:w="15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pPr>
            <w:r>
              <w:t> </w:t>
            </w:r>
          </w:p>
        </w:tc>
        <w:tc>
          <w:tcPr>
            <w:tcW w:w="188" w:type="dxa"/>
            <w:tcBorders/>
            <w:shd w:fill="CCEEFF" w:val="clear"/>
            <w:vAlign w:val="center"/>
          </w:tcPr>
          <w:p>
            <w:pPr>
              <w:pStyle w:val="TableContents"/>
              <w:bidi w:val="0"/>
              <w:spacing w:before="0" w:after="283"/>
              <w:jc w:val="left"/>
            </w:pPr>
            <w:r>
              <w:t> </w:t>
            </w:r>
          </w:p>
        </w:tc>
        <w:tc>
          <w:tcPr>
            <w:tcW w:w="822" w:type="dxa"/>
            <w:tcBorders/>
            <w:shd w:fill="CCEEFF" w:val="clear"/>
            <w:vAlign w:val="center"/>
          </w:tcPr>
          <w:p>
            <w:pPr>
              <w:pStyle w:val="TableContents"/>
              <w:bidi w:val="0"/>
              <w:spacing w:before="0" w:after="283"/>
              <w:jc w:val="right"/>
            </w:pPr>
            <w:r>
              <w:rPr>
                <w:rStyle w:val="Emphasis"/>
              </w:rPr>
              <w:t> </w:t>
            </w:r>
          </w:p>
        </w:tc>
        <w:tc>
          <w:tcPr>
            <w:tcW w:w="94" w:type="dxa"/>
            <w:tcBorders/>
            <w:shd w:fill="CCEEFF" w:val="clear"/>
            <w:vAlign w:val="center"/>
          </w:tcPr>
          <w:p>
            <w:pPr>
              <w:pStyle w:val="TableContents"/>
              <w:bidi w:val="0"/>
              <w:spacing w:before="0" w:after="283"/>
              <w:jc w:val="left"/>
            </w:pPr>
            <w:r>
              <w:t> </w:t>
            </w:r>
          </w:p>
        </w:tc>
        <w:tc>
          <w:tcPr>
            <w:tcW w:w="70" w:type="dxa"/>
            <w:tcBorders/>
            <w:shd w:fill="CCEEFF" w:val="clear"/>
            <w:vAlign w:val="center"/>
          </w:tcPr>
          <w:p>
            <w:pPr>
              <w:pStyle w:val="TableContents"/>
              <w:bidi w:val="0"/>
              <w:spacing w:before="0" w:after="283"/>
              <w:jc w:val="left"/>
            </w:pPr>
            <w:r>
              <w:t> </w:t>
            </w:r>
          </w:p>
        </w:tc>
        <w:tc>
          <w:tcPr>
            <w:tcW w:w="165" w:type="dxa"/>
            <w:tcBorders/>
            <w:shd w:fill="CCEEFF" w:val="clear"/>
            <w:vAlign w:val="center"/>
          </w:tcPr>
          <w:p>
            <w:pPr>
              <w:pStyle w:val="TableContents"/>
              <w:bidi w:val="0"/>
              <w:spacing w:before="0" w:after="283"/>
              <w:jc w:val="left"/>
            </w:pPr>
            <w:r>
              <w:t> </w:t>
            </w:r>
          </w:p>
        </w:tc>
        <w:tc>
          <w:tcPr>
            <w:tcW w:w="7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1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59" w:type="dxa"/>
            <w:tcBorders/>
            <w:shd w:fill="FFFFFF" w:val="clear"/>
            <w:vAlign w:val="center"/>
          </w:tcPr>
          <w:p>
            <w:pPr>
              <w:pStyle w:val="TableContents"/>
              <w:bidi w:val="0"/>
              <w:spacing w:before="0" w:after="283"/>
              <w:jc w:val="left"/>
            </w:pPr>
            <w:r>
              <w:t> </w:t>
            </w:r>
          </w:p>
        </w:tc>
        <w:tc>
          <w:tcPr>
            <w:tcW w:w="1565"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88" w:type="dxa"/>
            <w:tcBorders/>
            <w:shd w:fill="FFFFFF" w:val="clear"/>
            <w:vAlign w:val="center"/>
          </w:tcPr>
          <w:p>
            <w:pPr>
              <w:pStyle w:val="TableContents"/>
              <w:bidi w:val="0"/>
              <w:spacing w:before="0" w:after="283"/>
              <w:jc w:val="left"/>
            </w:pPr>
            <w:r>
              <w:t> </w:t>
            </w:r>
          </w:p>
        </w:tc>
        <w:tc>
          <w:tcPr>
            <w:tcW w:w="822" w:type="dxa"/>
            <w:tcBorders/>
            <w:shd w:fill="FFFFFF" w:val="clear"/>
            <w:vAlign w:val="center"/>
          </w:tcPr>
          <w:p>
            <w:pPr>
              <w:pStyle w:val="TableContents"/>
              <w:bidi w:val="0"/>
              <w:spacing w:before="0" w:after="283"/>
              <w:jc w:val="left"/>
            </w:pPr>
            <w:r>
              <w:t> </w:t>
            </w:r>
          </w:p>
        </w:tc>
        <w:tc>
          <w:tcPr>
            <w:tcW w:w="94" w:type="dxa"/>
            <w:tcBorders/>
            <w:shd w:fill="FFFFFF" w:val="clear"/>
            <w:vAlign w:val="center"/>
          </w:tcPr>
          <w:p>
            <w:pPr>
              <w:pStyle w:val="TableContents"/>
              <w:bidi w:val="0"/>
              <w:spacing w:before="0" w:after="283"/>
              <w:jc w:val="left"/>
            </w:pPr>
            <w:r>
              <w:t> </w:t>
            </w:r>
          </w:p>
        </w:tc>
        <w:tc>
          <w:tcPr>
            <w:tcW w:w="70" w:type="dxa"/>
            <w:tcBorders/>
            <w:shd w:fill="FFFFFF" w:val="clear"/>
            <w:vAlign w:val="center"/>
          </w:tcPr>
          <w:p>
            <w:pPr>
              <w:pStyle w:val="TableContents"/>
              <w:bidi w:val="0"/>
              <w:spacing w:before="0" w:after="283"/>
              <w:jc w:val="left"/>
            </w:pPr>
            <w:r>
              <w:t> </w:t>
            </w:r>
          </w:p>
        </w:tc>
        <w:tc>
          <w:tcPr>
            <w:tcW w:w="165" w:type="dxa"/>
            <w:tcBorders/>
            <w:shd w:fill="FFFFFF" w:val="clear"/>
            <w:vAlign w:val="center"/>
          </w:tcPr>
          <w:p>
            <w:pPr>
              <w:pStyle w:val="TableContents"/>
              <w:bidi w:val="0"/>
              <w:spacing w:before="0" w:after="283"/>
              <w:jc w:val="left"/>
            </w:pPr>
            <w:r>
              <w:t> </w:t>
            </w:r>
          </w:p>
        </w:tc>
        <w:tc>
          <w:tcPr>
            <w:tcW w:w="72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Eaton Mobility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June 10, 2026, </w:t>
      </w:r>
      <w:r>
        <w:rPr>
          <w:rFonts w:ascii="Times New Roman;Times;serif" w:hAnsi="Times New Roman;Times;serif"/>
          <w:caps w:val="false"/>
          <w:smallCaps w:val="false"/>
          <w:sz w:val="20"/>
        </w:rPr>
        <w:t xml:space="preserve">Dana entered into definitive agreements with Eaton Corporation plc (Eaton) and certain wholly owned subsidiaries of Eaton, including Mobility (USA) Corporation (the SpinCo), to acquire Eaton’s Vehicle and eMobility business segments (Mobility business). The structure of the transaction is a Reverse Morris Trust. Following the separation of the Mobility business from Eaton, a subsidiary of SpinCo will merge with and into Dana, and Dana will survive this merger as a direct wholly owned subsidiary of SpinCo. Immediately following this merger, and as part of the same overall transaction, Dana, as the surviving corporation, will merge with and into another direct wholly owned subsidiary of SpinCo, with that subsidiary surviving as a directly wholly owned subsidiary of SpinCo. In the merger, each outstanding share of Dana will be converted into the right to receive one SpinCo share. Prior to or at the closing, a subsidiary of Eaton will sell to Dana 100% of the stock in Royal Precision Holdings Corp. in exchange for cash consideration (the Royal Precision Purchase Price). In addition, certain subsidiaries of Eaton will sell certain specified assets (as defined in the Separation Agreement) to Dana in exchange for cash consideration (the Specified Assets Purchase Price). When the transaction is completed, former Eaton shareholders will own, in the aggregate, 50.1% and former Dana shareholders will own, in the aggregate, 49.9% of the outstanding shares of SpinCo common stock on a fully diluted basis. Under the terms of the agreement, Eaton will receive a cash distribution of approximately $1,100, subject to adjustment for cash and indebtedness, reduced by the Royal Precision Purchase Price and the Specified Assets Purchase Price, and increased as a result of any pre-closing share repurchases by Dana pursuant to the Share Buyback Side Letter. The transaction has been unanimously approved by the Boards of Directors of both Dana and Eaton.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vote by Eaton shareholders is required. The transaction is intended to be tax-free to Dana and Eaton shareholders for U.S. federal income tax purposes. The transaction is anticipated to close in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2027,</w:t>
      </w:r>
      <w:r>
        <w:rPr>
          <w:rFonts w:ascii="Times New Roman;Times;serif" w:hAnsi="Times New Roman;Times;serif"/>
          <w:caps w:val="false"/>
          <w:smallCaps w:val="false"/>
          <w:sz w:val="20"/>
        </w:rPr>
        <w:t xml:space="preserve"> subject to approval by Dana's shareholders and customary closing conditions, including receipt of regulatory approvals. The agreements contain certain customary termination rights for Dana and Eaton, including, without limitation, a right for either party to terminate if the transaction is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completed on or before </w:t>
      </w:r>
      <w:r>
        <w:rPr>
          <w:rStyle w:val="Emphasis"/>
          <w:rFonts w:ascii="Times New Roman;Times;serif" w:hAnsi="Times New Roman;Times;serif"/>
          <w:caps w:val="false"/>
          <w:smallCaps w:val="false"/>
          <w:sz w:val="20"/>
        </w:rPr>
        <w:t xml:space="preserve">June 10, 2027. </w:t>
      </w:r>
      <w:r>
        <w:rPr>
          <w:rFonts w:ascii="Times New Roman;Times;serif" w:hAnsi="Times New Roman;Times;serif"/>
          <w:caps w:val="false"/>
          <w:smallCaps w:val="false"/>
          <w:sz w:val="20"/>
        </w:rPr>
        <w:t xml:space="preserve">Termination resulting from Dana shareholders voting against the transaction would result in Dana having to reimburse Eaton for certain expenses in an amount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to exceed $20. Termination under specified circumstances would require Dana to pay Eaton a termination fee of $159. In anticipation of the transaction, Mobility (USA) Corporation and Dana became parties to a $2,600 bridge facility, a $350 secured term loan A commitment and a $1,200 secured revolving credit facility commitment. See Note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0" w:after="0"/>
        <w:ind w:left="0" w:right="0" w:firstLine="180"/>
        <w:jc w:val="left"/>
      </w:pPr>
      <w:r>
        <w:t> </w:t>
      </w:r>
    </w:p>
    <w:p>
      <w:pPr>
        <w:pStyle w:val="TextBody"/>
        <w:bidi w:val="0"/>
        <w:spacing w:before="0" w:after="0"/>
        <w:ind w:left="0" w:right="0" w:firstLine="360"/>
        <w:jc w:val="left"/>
      </w:pPr>
      <w:r>
        <w:rPr>
          <w:rFonts w:ascii="Times New Roman;Times;serif" w:hAnsi="Times New Roman;Times;serif"/>
          <w:sz w:val="20"/>
        </w:rPr>
        <w:t>In </w:t>
      </w:r>
      <w:r>
        <w:rPr>
          <w:rStyle w:val="Emphasis"/>
          <w:rFonts w:ascii="Times New Roman;Times;serif" w:hAnsi="Times New Roman;Times;serif"/>
          <w:sz w:val="20"/>
        </w:rPr>
        <w:t xml:space="preserve"> July 2025, </w:t>
      </w:r>
      <w:r>
        <w:rPr>
          <w:rFonts w:ascii="Times New Roman;Times;serif" w:hAnsi="Times New Roman;Times;serif"/>
          <w:sz w:val="20"/>
        </w:rPr>
        <w:t xml:space="preserve">the FASB issued ASU </w:t>
      </w:r>
      <w:r>
        <w:rPr>
          <w:rStyle w:val="Emphasis"/>
          <w:rFonts w:ascii="Times New Roman;Times;serif" w:hAnsi="Times New Roman;Times;serif"/>
          <w:sz w:val="20"/>
        </w:rPr>
        <w:t>2025</w:t>
      </w:r>
      <w:r>
        <w:rPr>
          <w:rFonts w:ascii="Times New Roman;Times;serif" w:hAnsi="Times New Roman;Times;serif"/>
          <w:sz w:val="20"/>
        </w:rPr>
        <w:t>-</w:t>
      </w:r>
      <w:r>
        <w:rPr>
          <w:rStyle w:val="Emphasis"/>
          <w:rFonts w:ascii="Times New Roman;Times;serif" w:hAnsi="Times New Roman;Times;serif"/>
          <w:sz w:val="20"/>
        </w:rPr>
        <w:t>05,</w:t>
      </w:r>
      <w:r>
        <w:rPr>
          <w:rFonts w:ascii="Times New Roman;Times;serif" w:hAnsi="Times New Roman;Times;serif"/>
          <w:sz w:val="20"/>
        </w:rPr>
        <w:t xml:space="preserve"> Financial Instruments-Credit Losses (Topic </w:t>
      </w:r>
      <w:r>
        <w:rPr>
          <w:rStyle w:val="Emphasis"/>
          <w:rFonts w:ascii="Times New Roman;Times;serif" w:hAnsi="Times New Roman;Times;serif"/>
          <w:sz w:val="20"/>
        </w:rPr>
        <w:t>326</w:t>
      </w:r>
      <w:r>
        <w:rPr>
          <w:rFonts w:ascii="Times New Roman;Times;serif" w:hAnsi="Times New Roman;Times;serif"/>
          <w:sz w:val="20"/>
        </w:rPr>
        <w:t>): Measurement of Credit Losses for Accounts Receivable and Contract Assets, which introduces a practical expedient that allows entities to assume conditions existing at the balance-sheet date will remain constant over the remaining life of current accounts receivable and contract assets arising from revenue transactions. We adopted this ASU effective </w:t>
      </w:r>
      <w:r>
        <w:rPr>
          <w:rStyle w:val="Emphasis"/>
          <w:rFonts w:ascii="Times New Roman;Times;serif" w:hAnsi="Times New Roman;Times;serif"/>
          <w:sz w:val="20"/>
        </w:rPr>
        <w:t xml:space="preserve"> January 1, 2026 </w:t>
      </w:r>
      <w:r>
        <w:rPr>
          <w:rFonts w:ascii="Times New Roman;Times;serif" w:hAnsi="Times New Roman;Times;serif"/>
          <w:sz w:val="20"/>
        </w:rPr>
        <w:t xml:space="preserve">and elected to utilize the practical expedient. The adoption of this amendment did </w:t>
      </w:r>
      <w:r>
        <w:rPr>
          <w:rStyle w:val="Emphasis"/>
          <w:rFonts w:ascii="Times New Roman;Times;serif" w:hAnsi="Times New Roman;Times;serif"/>
          <w:sz w:val="20"/>
        </w:rPr>
        <w:t>not</w:t>
      </w:r>
      <w:r>
        <w:rPr>
          <w:rFonts w:ascii="Times New Roman;Times;serif" w:hAnsi="Times New Roman;Times;serif"/>
          <w:sz w:val="20"/>
        </w:rPr>
        <w:t xml:space="preserve"> have a material impact on our consolidated financial statements.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December 2025, </w:t>
      </w:r>
      <w:r>
        <w:rPr>
          <w:rFonts w:ascii="Times New Roman;Times;serif" w:hAnsi="Times New Roman;Times;serif"/>
          <w:caps w:val="false"/>
          <w:smallCaps w:val="false"/>
          <w:sz w:val="20"/>
        </w:rPr>
        <w:t xml:space="preserve">the Financial Accounting Standards Board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 Government Grants (Topic </w:t>
      </w:r>
      <w:r>
        <w:rPr>
          <w:rStyle w:val="Emphasis"/>
          <w:rFonts w:ascii="Times New Roman;Times;serif" w:hAnsi="Times New Roman;Times;serif"/>
          <w:caps w:val="false"/>
          <w:smallCaps w:val="false"/>
          <w:sz w:val="20"/>
        </w:rPr>
        <w:t>832</w:t>
      </w:r>
      <w:r>
        <w:rPr>
          <w:rFonts w:ascii="Times New Roman;Times;serif" w:hAnsi="Times New Roman;Times;serif"/>
          <w:caps w:val="false"/>
          <w:smallCaps w:val="false"/>
          <w:sz w:val="20"/>
        </w:rPr>
        <w:t xml:space="preserve">), which addresses the recognition, measurement, presentation and disclosure of government grants, including grants related to income and grants related to assets. The new guidance leverages the principles in the accounting framework for government assistance in IFRS, specifically IAS </w:t>
      </w:r>
      <w:r>
        <w:rPr>
          <w:rStyle w:val="Emphasis"/>
          <w:rFonts w:ascii="Times New Roman;Times;serif" w:hAnsi="Times New Roman;Times;serif"/>
          <w:caps w:val="false"/>
          <w:smallCaps w:val="false"/>
          <w:sz w:val="20"/>
        </w:rPr>
        <w:t>20,</w:t>
      </w:r>
      <w:r>
        <w:rPr>
          <w:rFonts w:ascii="Times New Roman;Times;serif" w:hAnsi="Times New Roman;Times;serif"/>
          <w:caps w:val="false"/>
          <w:smallCaps w:val="false"/>
          <w:sz w:val="20"/>
        </w:rPr>
        <w:t xml:space="preserve"> with certain targeted improvements. This ASU requires entities to recognize government grants only when it is probable that the entity will meet the stipulated grant conditions and ultimately receive the grant funds. This ASU provides </w:t>
      </w:r>
      <w:r>
        <w:rPr>
          <w:rStyle w:val="Emphasis"/>
          <w:rFonts w:ascii="Times New Roman;Times;serif" w:hAnsi="Times New Roman;Times;serif"/>
          <w:caps w:val="false"/>
          <w:smallCaps w:val="false"/>
          <w:sz w:val="20"/>
        </w:rPr>
        <w:t>two</w:t>
      </w:r>
      <w:r>
        <w:rPr>
          <w:rFonts w:ascii="Times New Roman;Times;serif" w:hAnsi="Times New Roman;Times;serif"/>
          <w:caps w:val="false"/>
          <w:smallCaps w:val="false"/>
          <w:sz w:val="20"/>
        </w:rPr>
        <w:t xml:space="preserve"> acceptable methods for accounting for grants related to assets: the grant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initially recognized as deferred income, or it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recorded as an adjustment to reduce the cost basis of the related asset. For grants related to income, the standard mandates that these shall be consistently recognized as deferred income. Deferred grants should be recognized in earnings on a systematic and rational basis either under a general heading such as other income or deducted from the related expense. The guidance is effective for annual reporting periods beginning after </w:t>
      </w:r>
      <w:r>
        <w:rPr>
          <w:rStyle w:val="Emphasis"/>
          <w:rFonts w:ascii="Times New Roman;Times;serif" w:hAnsi="Times New Roman;Times;serif"/>
          <w:caps w:val="false"/>
          <w:smallCaps w:val="false"/>
          <w:sz w:val="20"/>
        </w:rPr>
        <w:t xml:space="preserve">December 15, 2028, </w:t>
      </w:r>
      <w:r>
        <w:rPr>
          <w:rFonts w:ascii="Times New Roman;Times;serif" w:hAnsi="Times New Roman;Times;serif"/>
          <w:caps w:val="false"/>
          <w:smallCaps w:val="false"/>
          <w:sz w:val="20"/>
        </w:rPr>
        <w:t xml:space="preserve">and interim reporting periods within those annual reporting periods; early adoption is permitted. We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expect this guidance to have a material impact on our consolidated financial statements and related disclosures.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2025,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09,</w:t>
      </w:r>
      <w:r>
        <w:rPr>
          <w:rFonts w:ascii="Times New Roman;Times;serif" w:hAnsi="Times New Roman;Times;serif"/>
          <w:caps w:val="false"/>
          <w:smallCaps w:val="false"/>
          <w:sz w:val="20"/>
        </w:rPr>
        <w:t xml:space="preserve"> Derivatives and Hedging (Topic </w:t>
      </w:r>
      <w:r>
        <w:rPr>
          <w:rStyle w:val="Emphasis"/>
          <w:rFonts w:ascii="Times New Roman;Times;serif" w:hAnsi="Times New Roman;Times;serif"/>
          <w:caps w:val="false"/>
          <w:smallCaps w:val="false"/>
          <w:sz w:val="20"/>
        </w:rPr>
        <w:t>815</w:t>
      </w:r>
      <w:r>
        <w:rPr>
          <w:rFonts w:ascii="Times New Roman;Times;serif" w:hAnsi="Times New Roman;Times;serif"/>
          <w:caps w:val="false"/>
          <w:smallCaps w:val="false"/>
          <w:sz w:val="20"/>
        </w:rPr>
        <w:t xml:space="preserve">), which provides targeted amendments to better align U.S. GAAP with common risk management practices. The guidance simplifies cash flow hedge accounting for forecasted transactions primarily by allowing entities to hedge a broader group of risks using a single derivative. Additionally, the ASU expands the scope of qualifying hedged items to include certain nonfinancial components, creates an optional accounting model for "choose-your-rate" debt instruments, and eliminates the recognition mismatch for dual hedge strategies. The guidance is effective for annual reporting periods beginning after </w:t>
      </w:r>
      <w:r>
        <w:rPr>
          <w:rStyle w:val="Emphasis"/>
          <w:rFonts w:ascii="Times New Roman;Times;serif" w:hAnsi="Times New Roman;Times;serif"/>
          <w:caps w:val="false"/>
          <w:smallCaps w:val="false"/>
          <w:sz w:val="20"/>
        </w:rPr>
        <w:t xml:space="preserve">December 15, 2026; </w:t>
      </w:r>
      <w:r>
        <w:rPr>
          <w:rFonts w:ascii="Times New Roman;Times;serif" w:hAnsi="Times New Roman;Times;serif"/>
          <w:caps w:val="false"/>
          <w:smallCaps w:val="false"/>
          <w:sz w:val="20"/>
        </w:rPr>
        <w:t xml:space="preserve">early adoption is permitted. We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expect this guidance to have a material impact on our consolidated financial statements and related disclosures.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September 2025,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06,</w:t>
      </w:r>
      <w:r>
        <w:rPr>
          <w:rFonts w:ascii="Times New Roman;Times;serif" w:hAnsi="Times New Roman;Times;serif"/>
          <w:caps w:val="false"/>
          <w:smallCaps w:val="false"/>
          <w:sz w:val="20"/>
        </w:rPr>
        <w:t xml:space="preserve"> Intangibles-Goodwill and Other-Internal-Use Software (Subtopic </w:t>
      </w:r>
      <w:r>
        <w:rPr>
          <w:rStyle w:val="Emphasis"/>
          <w:rFonts w:ascii="Times New Roman;Times;serif" w:hAnsi="Times New Roman;Times;serif"/>
          <w:caps w:val="false"/>
          <w:smallCaps w:val="false"/>
          <w:sz w:val="20"/>
        </w:rPr>
        <w:t>350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Targeted Improvements to the Accounting for Internal-Use Software, which eliminates the sequential software development-stage model and requires capitalization when management authorizes and commits to funding a software project and determines it is probable of completion. In evaluating whether it is probable the project will be completed, management is required to consider whether there is significant uncertainty associated with the development activities of the software. The guidance is effective for annual reporting periods beginning after </w:t>
      </w:r>
      <w:r>
        <w:rPr>
          <w:rStyle w:val="Emphasis"/>
          <w:rFonts w:ascii="Times New Roman;Times;serif" w:hAnsi="Times New Roman;Times;serif"/>
          <w:caps w:val="false"/>
          <w:smallCaps w:val="false"/>
          <w:sz w:val="20"/>
        </w:rPr>
        <w:t xml:space="preserve">December 15, 2027, </w:t>
      </w:r>
      <w:r>
        <w:rPr>
          <w:rFonts w:ascii="Times New Roman;Times;serif" w:hAnsi="Times New Roman;Times;serif"/>
          <w:caps w:val="false"/>
          <w:smallCaps w:val="false"/>
          <w:sz w:val="20"/>
        </w:rPr>
        <w:t>and interim periods within those annual reporting periods, with early adoption permitted. We are currently evaluating the impact of the guidance on the consolidated financial statements and related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November 2024, </w:t>
      </w:r>
      <w:r>
        <w:rPr>
          <w:rFonts w:ascii="Times New Roman;Times;serif" w:hAnsi="Times New Roman;Times;serif"/>
          <w:caps w:val="false"/>
          <w:smallCaps w:val="false"/>
          <w:sz w:val="20"/>
        </w:rPr>
        <w:t xml:space="preserve">the FASB issued ASU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03,</w:t>
      </w:r>
      <w:r>
        <w:rPr>
          <w:rFonts w:ascii="Times New Roman;Times;serif" w:hAnsi="Times New Roman;Times;serif"/>
          <w:caps w:val="false"/>
          <w:smallCaps w:val="false"/>
          <w:sz w:val="20"/>
        </w:rPr>
        <w:t xml:space="preserve"> Disaggregation of Income Statement Expenses (Subtopic </w:t>
      </w:r>
      <w:r>
        <w:rPr>
          <w:rStyle w:val="Emphasis"/>
          <w:rFonts w:ascii="Times New Roman;Times;serif" w:hAnsi="Times New Roman;Times;serif"/>
          <w:caps w:val="false"/>
          <w:smallCaps w:val="false"/>
          <w:sz w:val="20"/>
        </w:rPr>
        <w:t>220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40</w:t>
      </w:r>
      <w:r>
        <w:rPr>
          <w:rFonts w:ascii="Times New Roman;Times;serif" w:hAnsi="Times New Roman;Times;serif"/>
          <w:caps w:val="false"/>
          <w:smallCaps w:val="false"/>
          <w:sz w:val="20"/>
        </w:rPr>
        <w:t xml:space="preserve">), which requires public entities to disclose detailed components of income statement expenses, such as inventory purchases, employee compensation, depreciation and amortization within relevant expense captions. Companies are also required to explain amounts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disaggregated and define and disclose total selling expenses. The guidance is effective for fiscal years beginning after </w:t>
      </w:r>
      <w:r>
        <w:rPr>
          <w:rStyle w:val="Emphasis"/>
          <w:rFonts w:ascii="Times New Roman;Times;serif" w:hAnsi="Times New Roman;Times;serif"/>
          <w:caps w:val="false"/>
          <w:smallCaps w:val="false"/>
          <w:sz w:val="20"/>
        </w:rPr>
        <w:t xml:space="preserve">December 15, 2026, </w:t>
      </w:r>
      <w:r>
        <w:rPr>
          <w:rFonts w:ascii="Times New Roman;Times;serif" w:hAnsi="Times New Roman;Times;serif"/>
          <w:caps w:val="false"/>
          <w:smallCaps w:val="false"/>
          <w:sz w:val="20"/>
        </w:rPr>
        <w:t xml:space="preserve">and interim periods beginning after </w:t>
      </w:r>
      <w:r>
        <w:rPr>
          <w:rStyle w:val="Emphasis"/>
          <w:rFonts w:ascii="Times New Roman;Times;serif" w:hAnsi="Times New Roman;Times;serif"/>
          <w:caps w:val="false"/>
          <w:smallCaps w:val="false"/>
          <w:sz w:val="20"/>
        </w:rPr>
        <w:t xml:space="preserve">December 15, 2027. </w:t>
      </w:r>
      <w:r>
        <w:rPr>
          <w:rFonts w:ascii="Times New Roman;Times;serif" w:hAnsi="Times New Roman;Times;serif"/>
          <w:caps w:val="false"/>
          <w:smallCaps w:val="false"/>
          <w:sz w:val="20"/>
        </w:rPr>
        <w:t>We are currently evaluating the impact of the guidance on our financial statement disclosures.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both"/>
      </w:pPr>
      <w:bookmarkStart w:id="9" w:name="dicops"/>
      <w:bookmarkEnd w:id="9"/>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xml:space="preserve"> Discontinued Operations</w:t>
      </w:r>
    </w:p>
    <w:p>
      <w:pPr>
        <w:pStyle w:val="TextBody"/>
        <w:bidi w:val="0"/>
        <w:spacing w:before="0" w:after="0"/>
        <w:ind w:left="0" w:right="0" w:hanging="0"/>
        <w:jc w:val="both"/>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In </w:t>
      </w:r>
      <w:r>
        <w:rPr>
          <w:rStyle w:val="Emphasis"/>
          <w:rFonts w:ascii="Times New Roman;Times;serif" w:hAnsi="Times New Roman;Times;serif"/>
          <w:caps w:val="false"/>
          <w:smallCaps w:val="false"/>
          <w:sz w:val="20"/>
        </w:rPr>
        <w:t xml:space="preserve">June 2025, </w:t>
      </w:r>
      <w:r>
        <w:rPr>
          <w:rFonts w:ascii="Times New Roman;Times;serif" w:hAnsi="Times New Roman;Times;serif"/>
          <w:caps w:val="false"/>
          <w:smallCaps w:val="false"/>
          <w:sz w:val="20"/>
        </w:rPr>
        <w:t xml:space="preserve">we entered into a definitive agreement to sell our Off-Highway business to Allison Transmission Holdings, Inc. (Allison). The transaction closed on </w:t>
      </w:r>
      <w:r>
        <w:rPr>
          <w:rStyle w:val="Emphasis"/>
          <w:rFonts w:ascii="Times New Roman;Times;serif" w:hAnsi="Times New Roman;Times;serif"/>
          <w:caps w:val="false"/>
          <w:smallCaps w:val="false"/>
          <w:sz w:val="20"/>
        </w:rPr>
        <w:t xml:space="preserve">January 1, 2026, </w:t>
      </w:r>
      <w:r>
        <w:rPr>
          <w:rFonts w:ascii="Times New Roman;Times;serif" w:hAnsi="Times New Roman;Times;serif"/>
          <w:caps w:val="false"/>
          <w:smallCaps w:val="false"/>
          <w:sz w:val="20"/>
        </w:rPr>
        <w:t xml:space="preserve">with Dana receiving gross cash proceeds of $2,664. Pursuant to the terms of the agreement, the purchase price was subject to post-closing adjustments based on net working capital and net indebtedness balances as of the closing date. Based on the final closing date net working capital and net indebtedness balances, we paid $34 to Allison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Included in the gross cash proceeds received was $82 related to the Off-Highway business's Mexican operations which had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legally transferred to Allison. As a result, the $82 of proceeds had been deferred and included in other accrued liabilities on our consolidated balance sheet.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2026, </w:t>
      </w:r>
      <w:r>
        <w:rPr>
          <w:rFonts w:ascii="Times New Roman;Times;serif" w:hAnsi="Times New Roman;Times;serif"/>
          <w:caps w:val="false"/>
          <w:smallCaps w:val="false"/>
          <w:sz w:val="20"/>
        </w:rPr>
        <w:t xml:space="preserve">certain assets of the Mexican operations were transferred to Allison, resulting in the release of $53 million of previously deferred proceeds and the derecognition of $15 million of net assets. As a result, we recognized an additional gain on sale of $38 million during the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 xml:space="preserve">September 30, 2026, </w:t>
      </w:r>
      <w:r>
        <w:rPr>
          <w:rFonts w:ascii="Times New Roman;Times;serif" w:hAnsi="Times New Roman;Times;serif"/>
          <w:caps w:val="false"/>
          <w:smallCaps w:val="false"/>
          <w:sz w:val="20"/>
        </w:rPr>
        <w:t xml:space="preserve">$29 million of deferred proceeds remained recorded in other accrued liabilities related to the portions of the Mexican operations that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legally transferred to Allison. The remaining assets and liabilities of the Mexican operations will continue to be reported as held for sale on our consolidated balance sheet. The Mexican operations results of operations and cash flows will continue to be reported as discontinued operations on our consolidated statements of operations, comprehensive income and cash flows. We expect to complete the transfer of the Mexican operations to Allison by the end of </w:t>
      </w:r>
      <w:r>
        <w:rPr>
          <w:rStyle w:val="Emphasis"/>
          <w:rFonts w:ascii="Times New Roman;Times;serif" w:hAnsi="Times New Roman;Times;serif"/>
          <w:caps w:val="false"/>
          <w:smallCaps w:val="false"/>
          <w:sz w:val="20"/>
        </w:rPr>
        <w:t>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closing of the transaction, we entered into a transition services agreement, engineering services agreement, intellectual property and trademark license agreements, and certain supply agreements with Allison. Services to be provided by Dana under the transition services agreement include finance, information technology, human resources and certain other administrative services for periods up to 24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major classes of line items included in net income from discontinued operations are as follows:</w:t>
      </w:r>
    </w:p>
    <w:p>
      <w:pPr>
        <w:pStyle w:val="TextBody"/>
        <w:bidi w:val="0"/>
        <w:spacing w:before="0" w:after="0"/>
        <w:ind w:left="0" w:right="0" w:hanging="0"/>
        <w:jc w:val="both"/>
      </w:pPr>
      <w:r>
        <w:t> </w:t>
      </w:r>
    </w:p>
    <w:tbl>
      <w:tblPr>
        <w:tblW w:w="9453" w:type="dxa"/>
        <w:jc w:val="left"/>
        <w:tblInd w:w="0" w:type="dxa"/>
        <w:tblLayout w:type="fixed"/>
        <w:tblCellMar>
          <w:top w:w="0" w:type="dxa"/>
          <w:left w:w="0" w:type="dxa"/>
          <w:bottom w:w="0" w:type="dxa"/>
          <w:right w:w="0" w:type="dxa"/>
        </w:tblCellMar>
      </w:tblPr>
      <w:tblGrid>
        <w:gridCol w:w="5825"/>
        <w:gridCol w:w="60"/>
        <w:gridCol w:w="224"/>
        <w:gridCol w:w="413"/>
        <w:gridCol w:w="143"/>
        <w:gridCol w:w="107"/>
        <w:gridCol w:w="224"/>
        <w:gridCol w:w="601"/>
        <w:gridCol w:w="80"/>
        <w:gridCol w:w="60"/>
        <w:gridCol w:w="150"/>
        <w:gridCol w:w="584"/>
        <w:gridCol w:w="96"/>
        <w:gridCol w:w="72"/>
        <w:gridCol w:w="150"/>
        <w:gridCol w:w="584"/>
        <w:gridCol w:w="80"/>
      </w:tblGrid>
      <w:tr>
        <w:tc>
          <w:tcPr>
            <w:tcW w:w="5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2"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5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8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ind w:left="0" w:right="0" w:hanging="0"/>
              <w:jc w:val="left"/>
            </w:pPr>
            <w: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pPr>
            <w: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3"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ind w:left="0" w:right="0" w:hanging="0"/>
              <w:jc w:val="left"/>
            </w:pPr>
            <w: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w:t>
            </w:r>
          </w:p>
        </w:tc>
        <w:tc>
          <w:tcPr>
            <w:tcW w:w="80" w:type="dxa"/>
            <w:tcBorders/>
            <w:shd w:fill="CCEEFF" w:val="clear"/>
            <w:vAlign w:val="center"/>
          </w:tcPr>
          <w:p>
            <w:pPr>
              <w:pStyle w:val="TableContents"/>
              <w:bidi w:val="0"/>
              <w:spacing w:before="0" w:after="283"/>
              <w:ind w:left="0" w:right="0" w:hanging="0"/>
              <w:jc w:val="left"/>
            </w:pPr>
            <w:r>
              <w:t> </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3" w:type="dxa"/>
            <w:tcBorders/>
            <w:shd w:fill="FFFFFF" w:val="cle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w:t>
            </w:r>
          </w:p>
        </w:tc>
        <w:tc>
          <w:tcPr>
            <w:tcW w:w="80" w:type="dxa"/>
            <w:tcBorders/>
            <w:shd w:fill="FFFFFF" w:val="cle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CCEEFF" w:val="clear"/>
            <w:vAlign w:val="center"/>
          </w:tcPr>
          <w:p>
            <w:pPr>
              <w:pStyle w:val="TableContents"/>
              <w:bidi w:val="0"/>
              <w:spacing w:before="0" w:after="283"/>
              <w:ind w:left="0" w:right="0" w:hanging="0"/>
              <w:jc w:val="left"/>
            </w:pPr>
            <w:r>
              <w:t> </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Off-Highway business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41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143" w:type="dxa"/>
            <w:tcBorders/>
            <w:shd w:fill="FFFFFF" w:val="cle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jc w:val="left"/>
            </w:pPr>
            <w:r>
              <w:t> </w:t>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pPr>
            <w: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pPr>
            <w: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discontinued operations before interest and income taxes</w:t>
            </w:r>
          </w:p>
        </w:tc>
        <w:tc>
          <w:tcPr>
            <w:tcW w:w="60"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ind w:left="0" w:right="0" w:hanging="0"/>
              <w:jc w:val="left"/>
            </w:pPr>
            <w:r>
              <w:t> </w:t>
            </w:r>
          </w:p>
        </w:tc>
        <w:tc>
          <w:tcPr>
            <w:tcW w:w="4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43" w:type="dxa"/>
            <w:tcBorders/>
            <w:shd w:fill="FFFFFF" w:val="cle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shd w:fill="FFFFFF" w:val="clear"/>
            <w:vAlign w:val="center"/>
          </w:tcPr>
          <w:p>
            <w:pPr>
              <w:pStyle w:val="TableContents"/>
              <w:bidi w:val="0"/>
              <w:spacing w:before="0" w:after="283"/>
              <w:ind w:left="0" w:right="0" w:hanging="0"/>
              <w:jc w:val="left"/>
            </w:pPr>
            <w: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jc w:val="left"/>
            </w:pPr>
            <w:r>
              <w:t> </w:t>
            </w:r>
          </w:p>
        </w:tc>
        <w:tc>
          <w:tcPr>
            <w:tcW w:w="413"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ind w:left="0" w:right="0" w:hanging="0"/>
              <w:jc w:val="left"/>
            </w:pPr>
            <w:r>
              <w:t> </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413"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discontinued operations before income taxes</w:t>
            </w:r>
          </w:p>
        </w:tc>
        <w:tc>
          <w:tcPr>
            <w:tcW w:w="60"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ind w:left="0" w:right="0" w:hanging="0"/>
              <w:jc w:val="left"/>
            </w:pPr>
            <w:r>
              <w:t> </w:t>
            </w:r>
          </w:p>
        </w:tc>
        <w:tc>
          <w:tcPr>
            <w:tcW w:w="4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43"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4" w:type="dxa"/>
            <w:tcBorders/>
            <w:shd w:fill="CCEEFF" w:val="clear"/>
            <w:vAlign w:val="center"/>
          </w:tcPr>
          <w:p>
            <w:pPr>
              <w:pStyle w:val="TableContents"/>
              <w:bidi w:val="0"/>
              <w:spacing w:before="0" w:after="283"/>
              <w:ind w:left="0" w:right="0" w:hanging="0"/>
              <w:jc w:val="left"/>
            </w:pPr>
            <w: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ind w:left="0" w:right="0" w:hanging="0"/>
              <w:jc w:val="left"/>
            </w:pPr>
            <w:r>
              <w:t> </w:t>
            </w:r>
          </w:p>
        </w:tc>
      </w:tr>
      <w:tr>
        <w:tc>
          <w:tcPr>
            <w:tcW w:w="5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5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w:t>
            </w:r>
          </w:p>
        </w:tc>
        <w:tc>
          <w:tcPr>
            <w:tcW w:w="60" w:type="dxa"/>
            <w:tcBorders/>
            <w:shd w:fill="CCEEFF" w:val="clear"/>
            <w:vAlign w:val="center"/>
          </w:tcPr>
          <w:p>
            <w:pPr>
              <w:pStyle w:val="TableContents"/>
              <w:bidi w:val="0"/>
              <w:spacing w:before="0" w:after="283"/>
              <w:ind w:left="0" w:right="0" w:hanging="0"/>
              <w:jc w:val="left"/>
            </w:pPr>
            <w: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ind w:left="0" w:right="0" w:hanging="0"/>
              <w:jc w:val="left"/>
            </w:pPr>
            <w: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both"/>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w:t>
      </w:r>
      <w:r>
        <w:rPr>
          <w:rFonts w:ascii="Times New Roman;Times;serif" w:hAnsi="Times New Roman;Times;serif"/>
          <w:caps w:val="false"/>
          <w:smallCaps w:val="false"/>
          <w:sz w:val="20"/>
        </w:rPr>
        <w:t>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incurred $6 and $61 of Off-Highway business divestiture transaction related costs, compared with $20 and $54, respectively, during the corresponding periods in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These costs were attributed to discontinued operations and included in other income (expense), net in the table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carrying amounts of the major classes of assets and liabilities of disposal group held for sale are as follows:</w:t>
      </w:r>
    </w:p>
    <w:p>
      <w:pPr>
        <w:pStyle w:val="TextBody"/>
        <w:bidi w:val="0"/>
        <w:spacing w:before="0" w:after="0"/>
        <w:ind w:left="0" w:right="0" w:hanging="0"/>
        <w:jc w:val="both"/>
      </w:pPr>
      <w:r>
        <w:t> </w:t>
      </w:r>
    </w:p>
    <w:tbl>
      <w:tblPr>
        <w:tblW w:w="6793" w:type="dxa"/>
        <w:jc w:val="left"/>
        <w:tblInd w:w="0" w:type="dxa"/>
        <w:tblLayout w:type="fixed"/>
        <w:tblCellMar>
          <w:top w:w="0" w:type="dxa"/>
          <w:left w:w="0" w:type="dxa"/>
          <w:bottom w:w="0" w:type="dxa"/>
          <w:right w:w="0" w:type="dxa"/>
        </w:tblCellMar>
      </w:tblPr>
      <w:tblGrid>
        <w:gridCol w:w="4250"/>
        <w:gridCol w:w="60"/>
        <w:gridCol w:w="381"/>
        <w:gridCol w:w="793"/>
        <w:gridCol w:w="60"/>
        <w:gridCol w:w="60"/>
        <w:gridCol w:w="231"/>
        <w:gridCol w:w="898"/>
        <w:gridCol w:w="60"/>
      </w:tblGrid>
      <w:tr>
        <w:tc>
          <w:tcPr>
            <w:tcW w:w="4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Trade</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Other</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jc w:val="left"/>
            </w:pPr>
            <w: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jc w:val="left"/>
            </w:pPr>
            <w:r>
              <w:t> </w:t>
            </w:r>
          </w:p>
        </w:tc>
        <w:tc>
          <w:tcPr>
            <w:tcW w:w="8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pPr>
            <w: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CCEEFF" w:val="clear"/>
            <w:vAlign w:val="center"/>
          </w:tcPr>
          <w:p>
            <w:pPr>
              <w:pStyle w:val="TableContents"/>
              <w:bidi w:val="0"/>
              <w:spacing w:before="0" w:after="283"/>
              <w:ind w:left="0" w:right="0" w:hanging="0"/>
              <w:jc w:val="left"/>
            </w:pPr>
            <w: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jc w:val="left"/>
            </w:pPr>
            <w:r>
              <w:t> </w:t>
            </w:r>
          </w:p>
        </w:tc>
        <w:tc>
          <w:tcPr>
            <w:tcW w:w="7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jc w:val="left"/>
            </w:pPr>
            <w:r>
              <w:t> </w:t>
            </w:r>
          </w:p>
        </w:tc>
        <w:tc>
          <w:tcPr>
            <w:tcW w:w="89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ind w:left="0" w:right="0" w:hanging="0"/>
              <w:jc w:val="left"/>
            </w:pPr>
            <w: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ind w:left="0" w:right="0" w:hanging="0"/>
              <w:jc w:val="left"/>
            </w:pPr>
            <w: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pPr>
            <w: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ind w:left="0" w:right="0" w:hanging="0"/>
              <w:jc w:val="left"/>
            </w:pPr>
            <w: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jc w:val="left"/>
            </w:pPr>
            <w:r>
              <w:t> </w:t>
            </w:r>
          </w:p>
        </w:tc>
        <w:tc>
          <w:tcPr>
            <w:tcW w:w="7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jc w:val="left"/>
            </w:pPr>
            <w:r>
              <w:t> </w:t>
            </w:r>
          </w:p>
        </w:tc>
        <w:tc>
          <w:tcPr>
            <w:tcW w:w="89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ind w:left="0" w:right="0" w:hanging="0"/>
              <w:jc w:val="left"/>
            </w:pPr>
            <w: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employee benefits</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on income</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jc w:val="left"/>
            </w:pPr>
            <w:r>
              <w:t> </w:t>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jc w:val="left"/>
            </w:pPr>
            <w:r>
              <w:t> </w:t>
            </w:r>
          </w:p>
        </w:tc>
        <w:tc>
          <w:tcPr>
            <w:tcW w:w="8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ind w:left="0" w:right="0" w:hanging="0"/>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pPr>
            <w: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of disposal group held for sale</w:t>
            </w:r>
          </w:p>
        </w:tc>
        <w:tc>
          <w:tcPr>
            <w:tcW w:w="60" w:type="dxa"/>
            <w:tcBorders/>
            <w:shd w:fill="CCEEFF" w:val="clear"/>
            <w:vAlign w:val="center"/>
          </w:tcPr>
          <w:p>
            <w:pPr>
              <w:pStyle w:val="TableContents"/>
              <w:bidi w:val="0"/>
              <w:spacing w:before="0" w:after="283"/>
              <w:ind w:left="0" w:right="0" w:hanging="0"/>
              <w:jc w:val="left"/>
            </w:pPr>
            <w: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jc w:val="left"/>
            </w:pPr>
            <w:r>
              <w:t> </w:t>
            </w:r>
          </w:p>
        </w:tc>
        <w:tc>
          <w:tcPr>
            <w:tcW w:w="7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jc w:val="left"/>
            </w:pPr>
            <w:r>
              <w:t> </w:t>
            </w:r>
          </w:p>
        </w:tc>
        <w:tc>
          <w:tcPr>
            <w:tcW w:w="89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pPr>
            <w:r>
              <w:t> </w:t>
            </w:r>
          </w:p>
        </w:tc>
        <w:tc>
          <w:tcPr>
            <w:tcW w:w="381" w:type="dxa"/>
            <w:tcBorders/>
            <w:shd w:fill="FFFFFF" w:val="clear"/>
            <w:vAlign w:val="center"/>
          </w:tcPr>
          <w:p>
            <w:pPr>
              <w:pStyle w:val="TableContents"/>
              <w:bidi w:val="0"/>
              <w:spacing w:before="0" w:after="283"/>
              <w:ind w:left="0" w:right="0" w:hanging="0"/>
              <w:jc w:val="left"/>
            </w:pPr>
            <w:r>
              <w:t> </w:t>
            </w:r>
          </w:p>
        </w:tc>
        <w:tc>
          <w:tcPr>
            <w:tcW w:w="79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shd w:fill="FFFFFF" w:val="clear"/>
            <w:vAlign w:val="center"/>
          </w:tcPr>
          <w:p>
            <w:pPr>
              <w:pStyle w:val="TableContents"/>
              <w:bidi w:val="0"/>
              <w:spacing w:before="0" w:after="283"/>
              <w:ind w:left="0" w:right="0" w:hanging="0"/>
              <w:jc w:val="left"/>
            </w:pPr>
            <w: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and postretirement obligations</w:t>
            </w:r>
          </w:p>
        </w:tc>
        <w:tc>
          <w:tcPr>
            <w:tcW w:w="60" w:type="dxa"/>
            <w:tcBorders/>
            <w:shd w:fill="CCEEFF" w:val="clear"/>
            <w:vAlign w:val="center"/>
          </w:tcPr>
          <w:p>
            <w:pPr>
              <w:pStyle w:val="TableContents"/>
              <w:bidi w:val="0"/>
              <w:spacing w:before="0" w:after="283"/>
              <w:jc w:val="left"/>
            </w:pPr>
            <w:r>
              <w:t> </w:t>
            </w:r>
          </w:p>
        </w:tc>
        <w:tc>
          <w:tcPr>
            <w:tcW w:w="381" w:type="dxa"/>
            <w:tcBorders/>
            <w:shd w:fill="CCEEFF" w:val="clear"/>
            <w:vAlign w:val="center"/>
          </w:tcPr>
          <w:p>
            <w:pPr>
              <w:pStyle w:val="TableContents"/>
              <w:bidi w:val="0"/>
              <w:spacing w:before="0" w:after="283"/>
              <w:ind w:left="0" w:right="0" w:hanging="0"/>
              <w:jc w:val="left"/>
            </w:pPr>
            <w:r>
              <w:t> </w:t>
            </w:r>
          </w:p>
        </w:tc>
        <w:tc>
          <w:tcPr>
            <w:tcW w:w="79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ind w:left="0" w:right="0" w:hanging="0"/>
              <w:jc w:val="left"/>
            </w:pPr>
            <w: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pPr>
            <w:r>
              <w:t> </w:t>
            </w:r>
          </w:p>
        </w:tc>
      </w:tr>
      <w:t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pPr>
            <w: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 of disposal group held for sale</w:t>
            </w:r>
          </w:p>
        </w:tc>
        <w:tc>
          <w:tcPr>
            <w:tcW w:w="60" w:type="dxa"/>
            <w:tcBorders/>
            <w:shd w:fill="CCEEFF" w:val="clear"/>
            <w:vAlign w:val="center"/>
          </w:tcPr>
          <w:p>
            <w:pPr>
              <w:pStyle w:val="TableContents"/>
              <w:bidi w:val="0"/>
              <w:spacing w:before="0" w:after="283"/>
              <w:ind w:left="0" w:right="0" w:hanging="0"/>
              <w:jc w:val="left"/>
            </w:pPr>
            <w: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both"/>
      </w:pPr>
      <w:r>
        <w:t> </w:t>
      </w:r>
    </w:p>
    <w:p>
      <w:pPr>
        <w:pStyle w:val="TextBody"/>
        <w:bidi w:val="0"/>
        <w:spacing w:before="0" w:after="0"/>
        <w:jc w:val="cente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0" w:name="fn3"/>
      <w:bookmarkEnd w:id="10"/>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xml:space="preserve"> Intangible Assets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intangible assets (excluding fully-amortized intangible assets)</w:t>
      </w:r>
      <w:r>
        <w:rPr>
          <w:rFonts w:ascii="Times New Roman;Times;serif" w:hAnsi="Times New Roman;Times;serif"/>
          <w:sz w:val="20"/>
        </w:rPr>
        <w:t> —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588"/>
        <w:gridCol w:w="60"/>
        <w:gridCol w:w="232"/>
        <w:gridCol w:w="895"/>
        <w:gridCol w:w="60"/>
        <w:gridCol w:w="60"/>
        <w:gridCol w:w="255"/>
        <w:gridCol w:w="686"/>
        <w:gridCol w:w="60"/>
        <w:gridCol w:w="60"/>
        <w:gridCol w:w="433"/>
        <w:gridCol w:w="1008"/>
        <w:gridCol w:w="81"/>
        <w:gridCol w:w="60"/>
        <w:gridCol w:w="322"/>
        <w:gridCol w:w="594"/>
        <w:gridCol w:w="60"/>
        <w:gridCol w:w="60"/>
        <w:gridCol w:w="255"/>
        <w:gridCol w:w="686"/>
        <w:gridCol w:w="60"/>
        <w:gridCol w:w="60"/>
        <w:gridCol w:w="433"/>
        <w:gridCol w:w="1008"/>
        <w:gridCol w:w="80"/>
        <w:gridCol w:w="60"/>
        <w:gridCol w:w="322"/>
        <w:gridCol w:w="594"/>
        <w:gridCol w:w="73"/>
      </w:tblGrid>
      <w:tr>
        <w:tc>
          <w:tcPr>
            <w:tcW w:w="158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jc w:val="left"/>
            </w:pPr>
            <w:r>
              <w:t> </w:t>
            </w:r>
          </w:p>
        </w:tc>
        <w:tc>
          <w:tcPr>
            <w:tcW w:w="8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5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December 31, 2025</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58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Weighted Average Useful Life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Accumulated Impairment and Amortization</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Net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Gross Carrying 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Accumulated Impairment and 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Net Carrying Amount</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58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68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jc w:val="left"/>
            </w:pPr>
            <w:r>
              <w:t> </w:t>
            </w:r>
          </w:p>
        </w:tc>
        <w:tc>
          <w:tcPr>
            <w:tcW w:w="1008"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jc w:val="left"/>
            </w:pPr>
            <w:r>
              <w:t> </w:t>
            </w:r>
          </w:p>
        </w:tc>
        <w:tc>
          <w:tcPr>
            <w:tcW w:w="594"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jc w:val="left"/>
            </w:pPr>
            <w:r>
              <w:t> </w:t>
            </w:r>
          </w:p>
        </w:tc>
        <w:tc>
          <w:tcPr>
            <w:tcW w:w="68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jc w:val="left"/>
            </w:pPr>
            <w:r>
              <w:t> </w:t>
            </w:r>
          </w:p>
        </w:tc>
        <w:tc>
          <w:tcPr>
            <w:tcW w:w="100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jc w:val="left"/>
            </w:pPr>
            <w:r>
              <w:t> </w:t>
            </w:r>
          </w:p>
        </w:tc>
        <w:tc>
          <w:tcPr>
            <w:tcW w:w="594"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r>
      <w:tr>
        <w:tc>
          <w:tcPr>
            <w:tcW w:w="158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w:t>
            </w:r>
          </w:p>
        </w:tc>
        <w:tc>
          <w:tcPr>
            <w:tcW w:w="60"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ind w:left="0" w:right="0" w:hanging="0"/>
              <w:jc w:val="left"/>
            </w:pPr>
            <w:r>
              <w:t> </w:t>
            </w:r>
          </w:p>
        </w:tc>
        <w:tc>
          <w:tcPr>
            <w:tcW w:w="89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2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73" w:type="dxa"/>
            <w:tcBorders/>
            <w:shd w:fill="FFFFFF" w:val="clear"/>
            <w:vAlign w:val="center"/>
          </w:tcPr>
          <w:p>
            <w:pPr>
              <w:pStyle w:val="TableContents"/>
              <w:bidi w:val="0"/>
              <w:spacing w:before="0" w:after="283"/>
              <w:jc w:val="left"/>
            </w:pPr>
            <w:r>
              <w:t> </w:t>
            </w:r>
          </w:p>
        </w:tc>
      </w:tr>
      <w:tr>
        <w:tc>
          <w:tcPr>
            <w:tcW w:w="158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ind w:left="0" w:right="0" w:hanging="0"/>
              <w:jc w:val="left"/>
            </w:pPr>
            <w:r>
              <w:t> </w:t>
            </w:r>
          </w:p>
        </w:tc>
        <w:tc>
          <w:tcPr>
            <w:tcW w:w="8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ind w:left="0" w:right="0" w:hanging="0"/>
              <w:jc w:val="left"/>
            </w:pPr>
            <w: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ind w:left="0" w:right="0" w:hanging="0"/>
              <w:jc w:val="left"/>
            </w:pPr>
            <w: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shd w:fill="CCEEFF" w:val="clear"/>
            <w:vAlign w:val="center"/>
          </w:tcPr>
          <w:p>
            <w:pPr>
              <w:pStyle w:val="TableContents"/>
              <w:bidi w:val="0"/>
              <w:spacing w:before="0" w:after="283"/>
              <w:ind w:left="0" w:right="0" w:hanging="0"/>
              <w:jc w:val="left"/>
            </w:pPr>
            <w:r>
              <w:t> </w:t>
            </w:r>
          </w:p>
        </w:tc>
        <w:tc>
          <w:tcPr>
            <w:tcW w:w="6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shd w:fill="CCEEFF" w:val="clear"/>
            <w:vAlign w:val="center"/>
          </w:tcPr>
          <w:p>
            <w:pPr>
              <w:pStyle w:val="TableContents"/>
              <w:bidi w:val="0"/>
              <w:spacing w:before="0" w:after="283"/>
              <w:ind w:left="0" w:right="0" w:hanging="0"/>
              <w:jc w:val="left"/>
            </w:pPr>
            <w: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322" w:type="dxa"/>
            <w:tcBorders/>
            <w:shd w:fill="CCEEFF" w:val="clear"/>
            <w:vAlign w:val="center"/>
          </w:tcPr>
          <w:p>
            <w:pPr>
              <w:pStyle w:val="TableContents"/>
              <w:bidi w:val="0"/>
              <w:spacing w:before="0" w:after="283"/>
              <w:ind w:left="0" w:right="0" w:hanging="0"/>
              <w:jc w:val="left"/>
            </w:pPr>
            <w: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3" w:type="dxa"/>
            <w:tcBorders/>
            <w:shd w:fill="CCEEFF" w:val="clear"/>
            <w:vAlign w:val="center"/>
          </w:tcPr>
          <w:p>
            <w:pPr>
              <w:pStyle w:val="TableContents"/>
              <w:bidi w:val="0"/>
              <w:spacing w:before="0" w:after="283"/>
              <w:jc w:val="left"/>
            </w:pPr>
            <w:r>
              <w:t> </w:t>
            </w:r>
          </w:p>
        </w:tc>
      </w:tr>
      <w:tr>
        <w:tc>
          <w:tcPr>
            <w:tcW w:w="158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Non-amortizable intangible assets</w:t>
            </w:r>
          </w:p>
        </w:tc>
        <w:tc>
          <w:tcPr>
            <w:tcW w:w="60"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jc w:val="left"/>
            </w:pPr>
            <w:r>
              <w:t> </w:t>
            </w:r>
          </w:p>
        </w:tc>
        <w:tc>
          <w:tcPr>
            <w:tcW w:w="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jc w:val="left"/>
            </w:pPr>
            <w:r>
              <w:t> </w:t>
            </w:r>
          </w:p>
        </w:tc>
        <w:tc>
          <w:tcPr>
            <w:tcW w:w="6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3" w:type="dxa"/>
            <w:tcBorders/>
            <w:shd w:fill="FFFFFF" w:val="clear"/>
            <w:vAlign w:val="center"/>
          </w:tcPr>
          <w:p>
            <w:pPr>
              <w:pStyle w:val="TableContents"/>
              <w:bidi w:val="0"/>
              <w:spacing w:before="0" w:after="283"/>
              <w:jc w:val="left"/>
            </w:pPr>
            <w:r>
              <w:t> </w:t>
            </w:r>
          </w:p>
        </w:tc>
        <w:tc>
          <w:tcPr>
            <w:tcW w:w="1008"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pPr>
            <w:r>
              <w:t> </w:t>
            </w:r>
          </w:p>
        </w:tc>
        <w:tc>
          <w:tcPr>
            <w:tcW w:w="59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5" w:type="dxa"/>
            <w:tcBorders/>
            <w:shd w:fill="FFFFFF" w:val="clear"/>
            <w:vAlign w:val="center"/>
          </w:tcPr>
          <w:p>
            <w:pPr>
              <w:pStyle w:val="TableContents"/>
              <w:bidi w:val="0"/>
              <w:spacing w:before="0" w:after="283"/>
              <w:jc w:val="left"/>
            </w:pPr>
            <w:r>
              <w:t> </w:t>
            </w:r>
          </w:p>
        </w:tc>
        <w:tc>
          <w:tcPr>
            <w:tcW w:w="6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3" w:type="dxa"/>
            <w:tcBorders/>
            <w:shd w:fill="FFFFFF" w:val="clear"/>
            <w:vAlign w:val="center"/>
          </w:tcPr>
          <w:p>
            <w:pPr>
              <w:pStyle w:val="TableContents"/>
              <w:bidi w:val="0"/>
              <w:spacing w:before="0" w:after="283"/>
              <w:jc w:val="left"/>
            </w:pPr>
            <w:r>
              <w:t> </w:t>
            </w:r>
          </w:p>
        </w:tc>
        <w:tc>
          <w:tcPr>
            <w:tcW w:w="100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2" w:type="dxa"/>
            <w:tcBorders/>
            <w:shd w:fill="FFFFFF" w:val="clear"/>
            <w:vAlign w:val="center"/>
          </w:tcPr>
          <w:p>
            <w:pPr>
              <w:pStyle w:val="TableContents"/>
              <w:bidi w:val="0"/>
              <w:spacing w:before="0" w:after="283"/>
              <w:jc w:val="left"/>
            </w:pPr>
            <w:r>
              <w:t> </w:t>
            </w:r>
          </w:p>
        </w:tc>
        <w:tc>
          <w:tcPr>
            <w:tcW w:w="594"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r>
      <w:tr>
        <w:tc>
          <w:tcPr>
            <w:tcW w:w="158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pPr>
            <w:r>
              <w:t> </w:t>
            </w:r>
          </w:p>
        </w:tc>
        <w:tc>
          <w:tcPr>
            <w:tcW w:w="232" w:type="dxa"/>
            <w:tcBorders/>
            <w:shd w:fill="CCEEFF" w:val="clear"/>
            <w:vAlign w:val="center"/>
          </w:tcPr>
          <w:p>
            <w:pPr>
              <w:pStyle w:val="TableContents"/>
              <w:bidi w:val="0"/>
              <w:spacing w:before="0" w:after="283"/>
              <w:jc w:val="left"/>
            </w:pPr>
            <w:r>
              <w:t> </w:t>
            </w:r>
          </w:p>
        </w:tc>
        <w:tc>
          <w:tcPr>
            <w:tcW w:w="89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008" w:type="dxa"/>
            <w:tcBorders>
              <w:bottom w:val="single" w:sz="2" w:space="0" w:color="000000"/>
            </w:tcBorders>
            <w:shd w:fill="CCEEFF" w:val="clear"/>
            <w:tcMar>
              <w:bottom w:w="28" w:type="dxa"/>
            </w:tcMar>
            <w:vAlign w:val="center"/>
          </w:tcPr>
          <w:p>
            <w:pPr>
              <w:pStyle w:val="TableContents"/>
              <w:bidi w:val="0"/>
              <w:spacing w:before="0" w:after="283"/>
              <w:jc w:val="right"/>
            </w:pPr>
            <w:r>
              <w:rPr>
                <w:rStyle w:val="Emphasis"/>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008" w:type="dxa"/>
            <w:tcBorders>
              <w:bottom w:val="single" w:sz="2" w:space="0" w:color="000000"/>
            </w:tcBorders>
            <w:shd w:fill="CCEEFF" w:val="clear"/>
            <w:tcMar>
              <w:bottom w:w="28" w:type="dxa"/>
            </w:tcMar>
            <w:vAlign w:val="center"/>
          </w:tcPr>
          <w:p>
            <w:pPr>
              <w:pStyle w:val="TableContents"/>
              <w:bidi w:val="0"/>
              <w:spacing w:before="0" w:after="283"/>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7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58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jc w:val="left"/>
            </w:pPr>
            <w:r>
              <w:t> </w:t>
            </w:r>
          </w:p>
        </w:tc>
        <w:tc>
          <w:tcPr>
            <w:tcW w:w="89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amounts of intangible assets attributable to each of our operating segments—  </w:t>
      </w:r>
    </w:p>
    <w:p>
      <w:pPr>
        <w:pStyle w:val="TextBody"/>
        <w:bidi w:val="0"/>
        <w:spacing w:before="0" w:after="0"/>
        <w:ind w:left="0" w:right="0" w:hanging="0"/>
        <w:jc w:val="left"/>
      </w:pPr>
      <w:r>
        <w:t> </w:t>
      </w:r>
    </w:p>
    <w:tbl>
      <w:tblPr>
        <w:tblW w:w="3444" w:type="dxa"/>
        <w:jc w:val="left"/>
        <w:tblInd w:w="0" w:type="dxa"/>
        <w:tblLayout w:type="fixed"/>
        <w:tblCellMar>
          <w:top w:w="0" w:type="dxa"/>
          <w:left w:w="0" w:type="dxa"/>
          <w:bottom w:w="0" w:type="dxa"/>
          <w:right w:w="0" w:type="dxa"/>
        </w:tblCellMar>
      </w:tblPr>
      <w:tblGrid>
        <w:gridCol w:w="1685"/>
        <w:gridCol w:w="60"/>
        <w:gridCol w:w="577"/>
        <w:gridCol w:w="1062"/>
        <w:gridCol w:w="60"/>
      </w:tblGrid>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ind w:left="0" w:right="0" w:hanging="0"/>
              <w:jc w:val="left"/>
            </w:pPr>
            <w:r>
              <w:t> </w:t>
            </w:r>
          </w:p>
        </w:tc>
        <w:tc>
          <w:tcPr>
            <w:tcW w:w="5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pPr>
            <w: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Amortization expense related to amortizable intangible assets</w:t>
      </w:r>
      <w:r>
        <w:rPr>
          <w:rFonts w:ascii="Times New Roman;Times;serif" w:hAnsi="Times New Roman;Times;serif"/>
          <w:sz w:val="20"/>
        </w:rPr>
        <w:t xml:space="preserve"> — </w:t>
      </w:r>
    </w:p>
    <w:p>
      <w:pPr>
        <w:pStyle w:val="TextBody"/>
        <w:bidi w:val="0"/>
        <w:spacing w:before="0" w:after="0"/>
        <w:ind w:left="0" w:right="0" w:hanging="0"/>
        <w:jc w:val="left"/>
      </w:pPr>
      <w:r>
        <w:t> </w:t>
      </w:r>
    </w:p>
    <w:tbl>
      <w:tblPr>
        <w:tblW w:w="6758" w:type="dxa"/>
        <w:jc w:val="left"/>
        <w:tblInd w:w="0" w:type="dxa"/>
        <w:tblLayout w:type="fixed"/>
        <w:tblCellMar>
          <w:top w:w="0" w:type="dxa"/>
          <w:left w:w="0" w:type="dxa"/>
          <w:bottom w:w="0" w:type="dxa"/>
          <w:right w:w="0" w:type="dxa"/>
        </w:tblCellMar>
      </w:tblPr>
      <w:tblGrid>
        <w:gridCol w:w="3170"/>
        <w:gridCol w:w="60"/>
        <w:gridCol w:w="345"/>
        <w:gridCol w:w="345"/>
        <w:gridCol w:w="164"/>
        <w:gridCol w:w="164"/>
        <w:gridCol w:w="345"/>
        <w:gridCol w:w="348"/>
        <w:gridCol w:w="60"/>
        <w:gridCol w:w="60"/>
        <w:gridCol w:w="330"/>
        <w:gridCol w:w="330"/>
        <w:gridCol w:w="157"/>
        <w:gridCol w:w="157"/>
        <w:gridCol w:w="330"/>
        <w:gridCol w:w="333"/>
        <w:gridCol w:w="60"/>
      </w:tblGrid>
      <w:tr>
        <w:tc>
          <w:tcPr>
            <w:tcW w:w="31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7"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60" w:type="dxa"/>
            <w:tcBorders/>
            <w:shd w:fill="FFFF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64" w:type="dxa"/>
            <w:tcBorders/>
            <w:shd w:fill="FFFFFF" w:val="clear"/>
            <w:vAlign w:val="center"/>
          </w:tcPr>
          <w:p>
            <w:pPr>
              <w:pStyle w:val="TableContents"/>
              <w:bidi w:val="0"/>
              <w:spacing w:before="0" w:after="283"/>
              <w:ind w:left="0" w:right="0" w:hanging="0"/>
              <w:jc w:val="left"/>
            </w:pPr>
            <w:r>
              <w:t> </w:t>
            </w:r>
          </w:p>
        </w:tc>
        <w:tc>
          <w:tcPr>
            <w:tcW w:w="6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 cost of sales</w:t>
            </w:r>
          </w:p>
        </w:tc>
        <w:tc>
          <w:tcPr>
            <w:tcW w:w="60" w:type="dxa"/>
            <w:tcBorders/>
            <w:shd w:fill="CCEEFF" w:val="clear"/>
            <w:vAlign w:val="center"/>
          </w:tcPr>
          <w:p>
            <w:pPr>
              <w:pStyle w:val="TableContents"/>
              <w:bidi w:val="0"/>
              <w:spacing w:before="0" w:after="283"/>
              <w:ind w:left="0" w:right="0" w:hanging="0"/>
              <w:jc w:val="left"/>
            </w:pPr>
            <w: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4" w:type="dxa"/>
            <w:tcBorders/>
            <w:shd w:fill="CCEEFF" w:val="clear"/>
            <w:vAlign w:val="center"/>
          </w:tcPr>
          <w:p>
            <w:pPr>
              <w:pStyle w:val="TableContents"/>
              <w:bidi w:val="0"/>
              <w:spacing w:before="0" w:after="283"/>
              <w:jc w:val="left"/>
            </w:pPr>
            <w:r>
              <w:t> </w:t>
            </w:r>
          </w:p>
        </w:tc>
        <w:tc>
          <w:tcPr>
            <w:tcW w:w="164" w:type="dxa"/>
            <w:tcBorders/>
            <w:shd w:fill="CCEEFF" w:val="clear"/>
            <w:vAlign w:val="center"/>
          </w:tcPr>
          <w:p>
            <w:pPr>
              <w:pStyle w:val="TableContents"/>
              <w:bidi w:val="0"/>
              <w:spacing w:before="0" w:after="283"/>
              <w:ind w:left="0" w:right="0" w:hanging="0"/>
              <w:jc w:val="left"/>
            </w:pPr>
            <w: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57"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pPr>
            <w:r>
              <w:t> </w:t>
            </w:r>
          </w:p>
        </w:tc>
      </w:tr>
      <w:t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 amortization of intangibles</w:t>
            </w:r>
          </w:p>
        </w:tc>
        <w:tc>
          <w:tcPr>
            <w:tcW w:w="60" w:type="dxa"/>
            <w:tcBorders/>
            <w:shd w:fill="FFFFFF" w:val="clear"/>
            <w:vAlign w:val="center"/>
          </w:tcPr>
          <w:p>
            <w:pPr>
              <w:pStyle w:val="TableContents"/>
              <w:bidi w:val="0"/>
              <w:spacing w:before="0" w:after="283"/>
              <w:jc w:val="left"/>
            </w:pPr>
            <w: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64" w:type="dxa"/>
            <w:tcBorders/>
            <w:shd w:fill="FFFFFF" w:val="clear"/>
            <w:vAlign w:val="center"/>
          </w:tcPr>
          <w:p>
            <w:pPr>
              <w:pStyle w:val="TableContents"/>
              <w:bidi w:val="0"/>
              <w:spacing w:before="0" w:after="283"/>
              <w:jc w:val="left"/>
            </w:pPr>
            <w: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w:t>
            </w:r>
          </w:p>
        </w:tc>
        <w:tc>
          <w:tcPr>
            <w:tcW w:w="60" w:type="dxa"/>
            <w:tcBorders/>
            <w:shd w:fill="CCEEFF" w:val="clear"/>
            <w:vAlign w:val="center"/>
          </w:tcPr>
          <w:p>
            <w:pPr>
              <w:pStyle w:val="TableContents"/>
              <w:bidi w:val="0"/>
              <w:spacing w:before="0" w:after="283"/>
              <w:ind w:left="0" w:right="0" w:hanging="0"/>
              <w:jc w:val="left"/>
            </w:pPr>
            <w: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64" w:type="dxa"/>
            <w:tcBorders/>
            <w:shd w:fill="CCEEFF" w:val="clear"/>
            <w:vAlign w:val="center"/>
          </w:tcPr>
          <w:p>
            <w:pPr>
              <w:pStyle w:val="TableContents"/>
              <w:bidi w:val="0"/>
              <w:spacing w:before="0" w:after="283"/>
              <w:ind w:left="0" w:right="0" w:hanging="0"/>
              <w:jc w:val="left"/>
            </w:pPr>
            <w: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bookmarkStart w:id="11" w:name="fn4"/>
      <w:bookmarkEnd w:id="11"/>
      <w:r>
        <w:rPr>
          <w:rFonts w:ascii="Times New Roman;Times;serif" w:hAnsi="Times New Roman;Times;serif"/>
          <w:b/>
          <w:sz w:val="20"/>
        </w:rPr>
        <w:t xml:space="preserve">Note </w:t>
      </w:r>
      <w:r>
        <w:rPr>
          <w:rStyle w:val="Emphasis"/>
          <w:rFonts w:ascii="Times New Roman;Times;serif" w:hAnsi="Times New Roman;Times;serif"/>
          <w:b/>
          <w:sz w:val="20"/>
        </w:rPr>
        <w:t>4.</w:t>
      </w:r>
      <w:r>
        <w:rPr>
          <w:rFonts w:ascii="Times New Roman;Times;serif" w:hAnsi="Times New Roman;Times;serif"/>
          <w:b/>
          <w:sz w:val="20"/>
        </w:rPr>
        <w:t xml:space="preserve"> Restructuring of Operations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restructuring activities include rationalizing our operating footprint by consolidating facilities, positioning operations in lower cost locations, and headcount reduction initiatives focused on reducing operating and overhead costs. Restructuring expense includes costs associated with current and previously announced actions and is comprised of contractual and noncontractual separation costs and exit costs, including certain costs of facilities that we are in the process of closing.</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sz w:val="20"/>
        </w:rPr>
        <w:t xml:space="preserve">During </w:t>
      </w:r>
      <w:r>
        <w:rPr>
          <w:rStyle w:val="Emphasis"/>
          <w:rFonts w:ascii="Times New Roman;Times;serif" w:hAnsi="Times New Roman;Times;serif"/>
          <w:sz w:val="20"/>
        </w:rPr>
        <w:t>2024,</w:t>
      </w:r>
      <w:r>
        <w:rPr>
          <w:rFonts w:ascii="Times New Roman;Times;serif" w:hAnsi="Times New Roman;Times;serif"/>
          <w:sz w:val="20"/>
        </w:rPr>
        <w:t xml:space="preserve"> we announced actions to consolidate certain manufacturing facilities along with global headcount reductions focused on reducing engineering and overhead costs in response to market dynamics, including delays in the adoption of electric vehicles. During </w:t>
      </w:r>
      <w:r>
        <w:rPr>
          <w:rStyle w:val="Emphasis"/>
          <w:rFonts w:ascii="Times New Roman;Times;serif" w:hAnsi="Times New Roman;Times;serif"/>
          <w:sz w:val="20"/>
        </w:rPr>
        <w:t>2026,</w:t>
      </w:r>
      <w:r>
        <w:rPr>
          <w:rFonts w:ascii="Times New Roman;Times;serif" w:hAnsi="Times New Roman;Times;serif"/>
          <w:sz w:val="20"/>
        </w:rPr>
        <w:t xml:space="preserve"> we continued to execute on these initiatives.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Accrued restructuring costs and activity </w:t>
      </w:r>
      <w:r>
        <w:rPr>
          <w:rFonts w:ascii="Times New Roman;Times;serif" w:hAnsi="Times New Roman;Times;serif"/>
          <w:sz w:val="20"/>
        </w:rPr>
        <w: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211"/>
        <w:gridCol w:w="60"/>
        <w:gridCol w:w="701"/>
        <w:gridCol w:w="1633"/>
        <w:gridCol w:w="80"/>
        <w:gridCol w:w="60"/>
        <w:gridCol w:w="236"/>
        <w:gridCol w:w="551"/>
        <w:gridCol w:w="80"/>
        <w:gridCol w:w="60"/>
        <w:gridCol w:w="137"/>
        <w:gridCol w:w="318"/>
        <w:gridCol w:w="80"/>
        <w:gridCol w:w="60"/>
        <w:gridCol w:w="701"/>
        <w:gridCol w:w="1633"/>
        <w:gridCol w:w="80"/>
        <w:gridCol w:w="60"/>
        <w:gridCol w:w="254"/>
        <w:gridCol w:w="532"/>
        <w:gridCol w:w="80"/>
        <w:gridCol w:w="60"/>
        <w:gridCol w:w="137"/>
        <w:gridCol w:w="318"/>
        <w:gridCol w:w="83"/>
      </w:tblGrid>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51" w:type="dxa"/>
            <w:gridSpan w:val="2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3" w:type="dxa"/>
            <w:tcBorders/>
            <w:shd w:fill="FFFFFF" w:val="cle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51"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5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Employee Termination 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Exit Costs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Employee Termination 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Exit Costs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3" w:type="dxa"/>
            <w:tcBorders/>
            <w:shd w:fill="CCEEFF" w:val="cle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 to restructuring</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ind w:left="0" w:right="0" w:hanging="0"/>
              <w:jc w:val="left"/>
            </w:pPr>
            <w:r>
              <w:t> </w:t>
            </w:r>
          </w:p>
        </w:tc>
        <w:tc>
          <w:tcPr>
            <w:tcW w:w="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ind w:left="0" w:right="0" w:hanging="0"/>
              <w:jc w:val="left"/>
            </w:pPr>
            <w:r>
              <w:t> </w:t>
            </w:r>
          </w:p>
        </w:tc>
        <w:tc>
          <w:tcPr>
            <w:tcW w:w="5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3" w:type="dxa"/>
            <w:tcBorders/>
            <w:shd w:fill="FFFFFF" w:val="clear"/>
            <w:vAlign w:val="center"/>
          </w:tcPr>
          <w:p>
            <w:pPr>
              <w:pStyle w:val="TableContents"/>
              <w:bidi w:val="0"/>
              <w:spacing w:before="0" w:after="283"/>
              <w:jc w:val="left"/>
            </w:pPr>
            <w:r>
              <w:t> </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of accruals</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ind w:left="0" w:right="0" w:hanging="0"/>
              <w:jc w:val="left"/>
            </w:pPr>
            <w:r>
              <w:t> </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pPr>
            <w:r>
              <w:t> </w:t>
            </w:r>
          </w:p>
        </w:tc>
        <w:tc>
          <w:tcPr>
            <w:tcW w:w="5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ind w:left="0" w:right="0" w:hanging="0"/>
              <w:jc w:val="left"/>
            </w:pPr>
            <w:r>
              <w:t> </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jc w:val="left"/>
            </w:pPr>
            <w:r>
              <w:t> </w:t>
            </w:r>
          </w:p>
        </w:tc>
        <w:tc>
          <w:tcPr>
            <w:tcW w:w="16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jc w:val="left"/>
            </w:pPr>
            <w:r>
              <w:t> </w:t>
            </w:r>
          </w:p>
        </w:tc>
        <w:tc>
          <w:tcPr>
            <w:tcW w:w="5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3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jc w:val="left"/>
            </w:pPr>
            <w:r>
              <w:t> </w:t>
            </w:r>
          </w:p>
        </w:tc>
        <w:tc>
          <w:tcPr>
            <w:tcW w:w="16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3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impact</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jc w:val="left"/>
            </w:pPr>
            <w:r>
              <w:t> </w:t>
            </w:r>
          </w:p>
        </w:tc>
        <w:tc>
          <w:tcPr>
            <w:tcW w:w="163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pPr>
            <w:r>
              <w:t> </w:t>
            </w:r>
          </w:p>
        </w:tc>
        <w:tc>
          <w:tcPr>
            <w:tcW w:w="5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318"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jc w:val="left"/>
            </w:pPr>
            <w:r>
              <w:t> </w:t>
            </w:r>
          </w:p>
        </w:tc>
        <w:tc>
          <w:tcPr>
            <w:tcW w:w="16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3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pPr>
            <w:r>
              <w:t>—</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jc w:val="left"/>
            </w:pPr>
            <w:r>
              <w:t> </w:t>
            </w:r>
          </w:p>
        </w:tc>
        <w:tc>
          <w:tcPr>
            <w:tcW w:w="1633"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jc w:val="left"/>
            </w:pPr>
            <w:r>
              <w:t> </w:t>
            </w:r>
          </w:p>
        </w:tc>
        <w:tc>
          <w:tcPr>
            <w:tcW w:w="551"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31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jc w:val="left"/>
            </w:pPr>
            <w:r>
              <w:t> </w:t>
            </w:r>
          </w:p>
        </w:tc>
        <w:tc>
          <w:tcPr>
            <w:tcW w:w="1633"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jc w:val="left"/>
            </w:pPr>
            <w:r>
              <w:t> </w:t>
            </w:r>
          </w:p>
        </w:tc>
        <w:tc>
          <w:tcPr>
            <w:tcW w:w="53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318"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51" w:type="dxa"/>
            <w:gridSpan w:val="2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3" w:type="dxa"/>
            <w:tcBorders/>
            <w:shd w:fill="FFFFFF" w:val="cle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51"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5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Employee Termination 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Exit Costs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Employee Termination Benefits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Exit Costs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3" w:type="dxa"/>
            <w:tcBorders/>
            <w:shd w:fill="CCEEFF" w:val="cle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 to restructuring</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ind w:left="0" w:right="0" w:hanging="0"/>
              <w:jc w:val="left"/>
            </w:pPr>
            <w:r>
              <w:t> </w:t>
            </w:r>
          </w:p>
        </w:tc>
        <w:tc>
          <w:tcPr>
            <w:tcW w:w="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ind w:left="0" w:right="0" w:hanging="0"/>
              <w:jc w:val="left"/>
            </w:pPr>
            <w:r>
              <w:t> </w:t>
            </w:r>
          </w:p>
        </w:tc>
        <w:tc>
          <w:tcPr>
            <w:tcW w:w="5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3" w:type="dxa"/>
            <w:tcBorders/>
            <w:shd w:fill="FFFFFF" w:val="clear"/>
            <w:vAlign w:val="center"/>
          </w:tcPr>
          <w:p>
            <w:pPr>
              <w:pStyle w:val="TableContents"/>
              <w:bidi w:val="0"/>
              <w:spacing w:before="0" w:after="283"/>
              <w:jc w:val="left"/>
            </w:pPr>
            <w:r>
              <w:t> </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of accruals</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ind w:left="0" w:right="0" w:hanging="0"/>
              <w:jc w:val="left"/>
            </w:pPr>
            <w:r>
              <w:t> </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36" w:type="dxa"/>
            <w:tcBorders/>
            <w:shd w:fill="CCEEFF" w:val="clear"/>
            <w:vAlign w:val="center"/>
          </w:tcPr>
          <w:p>
            <w:pPr>
              <w:pStyle w:val="TableContents"/>
              <w:bidi w:val="0"/>
              <w:spacing w:before="0" w:after="283"/>
              <w:jc w:val="left"/>
            </w:pPr>
            <w:r>
              <w:t> </w:t>
            </w:r>
          </w:p>
        </w:tc>
        <w:tc>
          <w:tcPr>
            <w:tcW w:w="5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01" w:type="dxa"/>
            <w:tcBorders/>
            <w:shd w:fill="CCEEFF" w:val="clear"/>
            <w:vAlign w:val="center"/>
          </w:tcPr>
          <w:p>
            <w:pPr>
              <w:pStyle w:val="TableContents"/>
              <w:bidi w:val="0"/>
              <w:spacing w:before="0" w:after="283"/>
              <w:ind w:left="0" w:right="0" w:hanging="0"/>
              <w:jc w:val="left"/>
            </w:pPr>
            <w:r>
              <w:t> </w:t>
            </w:r>
          </w:p>
        </w:tc>
        <w:tc>
          <w:tcPr>
            <w:tcW w:w="1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3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36" w:type="dxa"/>
            <w:tcBorders/>
            <w:shd w:fill="FFFFFF" w:val="clear"/>
            <w:vAlign w:val="center"/>
          </w:tcPr>
          <w:p>
            <w:pPr>
              <w:pStyle w:val="TableContents"/>
              <w:bidi w:val="0"/>
              <w:spacing w:before="0" w:after="283"/>
              <w:ind w:left="0" w:right="0" w:hanging="0"/>
              <w:jc w:val="left"/>
            </w:pPr>
            <w:r>
              <w:t> </w:t>
            </w:r>
          </w:p>
        </w:tc>
        <w:tc>
          <w:tcPr>
            <w:tcW w:w="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01" w:type="dxa"/>
            <w:tcBorders/>
            <w:shd w:fill="FFFFFF" w:val="clear"/>
            <w:vAlign w:val="center"/>
          </w:tcPr>
          <w:p>
            <w:pPr>
              <w:pStyle w:val="TableContents"/>
              <w:bidi w:val="0"/>
              <w:spacing w:before="0" w:after="283"/>
              <w:ind w:left="0" w:right="0" w:hanging="0"/>
              <w:jc w:val="left"/>
            </w:pPr>
            <w:r>
              <w:t> </w:t>
            </w:r>
          </w:p>
        </w:tc>
        <w:tc>
          <w:tcPr>
            <w:tcW w:w="1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54" w:type="dxa"/>
            <w:tcBorders/>
            <w:shd w:fill="FFFFFF" w:val="clear"/>
            <w:vAlign w:val="center"/>
          </w:tcPr>
          <w:p>
            <w:pPr>
              <w:pStyle w:val="TableContents"/>
              <w:bidi w:val="0"/>
              <w:spacing w:before="0" w:after="283"/>
              <w:ind w:left="0" w:right="0" w:hanging="0"/>
              <w:jc w:val="left"/>
            </w:pPr>
            <w:r>
              <w:t> </w:t>
            </w:r>
          </w:p>
        </w:tc>
        <w:tc>
          <w:tcPr>
            <w:tcW w:w="5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3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1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impact</w:t>
            </w:r>
          </w:p>
        </w:tc>
        <w:tc>
          <w:tcPr>
            <w:tcW w:w="60" w:type="dxa"/>
            <w:tcBorders/>
            <w:shd w:fill="CCEEFF" w:val="clear"/>
            <w:vAlign w:val="center"/>
          </w:tcPr>
          <w:p>
            <w:pPr>
              <w:pStyle w:val="TableContents"/>
              <w:bidi w:val="0"/>
              <w:spacing w:before="0" w:after="283"/>
              <w:jc w:val="left"/>
            </w:pPr>
            <w:r>
              <w:t> </w:t>
            </w:r>
          </w:p>
        </w:tc>
        <w:tc>
          <w:tcPr>
            <w:tcW w:w="70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633"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551"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532"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211"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At </w:t>
      </w:r>
      <w:r>
        <w:rPr>
          <w:rStyle w:val="Emphasis"/>
          <w:rFonts w:ascii="Times New Roman;Times;serif" w:hAnsi="Times New Roman;Times;serif"/>
          <w:sz w:val="20"/>
        </w:rPr>
        <w:t>September 30, 2026</w:t>
      </w:r>
      <w:r>
        <w:rPr>
          <w:rFonts w:ascii="Times New Roman;Times;serif" w:hAnsi="Times New Roman;Times;serif"/>
          <w:sz w:val="20"/>
        </w:rPr>
        <w:t>, the accrued employee termination benefits include costs to reduce approximately</w:t>
      </w:r>
      <w:r>
        <w:rPr>
          <w:rFonts w:ascii="Times New Roman;Times;serif" w:hAnsi="Times New Roman;Times;serif"/>
          <w:sz w:val="20"/>
          <w:shd w:fill="FFFFFF" w:val="clear"/>
        </w:rPr>
        <w:t> 200 e</w:t>
      </w:r>
      <w:r>
        <w:rPr>
          <w:rFonts w:ascii="Times New Roman;Times;serif" w:hAnsi="Times New Roman;Times;serif"/>
          <w:sz w:val="20"/>
        </w:rPr>
        <w:t>mployees to be complet</w:t>
      </w:r>
      <w:r>
        <w:rPr>
          <w:rFonts w:ascii="Times New Roman;Times;serif" w:hAnsi="Times New Roman;Times;serif"/>
          <w:sz w:val="20"/>
          <w:shd w:fill="FFFFFF" w:val="clear"/>
        </w:rPr>
        <w:t>ed over the next year.</w:t>
      </w:r>
    </w:p>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2" w:name="fn5"/>
      <w:bookmarkEnd w:id="12"/>
      <w:r>
        <w:rPr>
          <w:rFonts w:ascii="Times New Roman;Times;serif" w:hAnsi="Times New Roman;Times;serif"/>
          <w:b/>
          <w:sz w:val="20"/>
        </w:rPr>
        <w:t xml:space="preserve">Note </w:t>
      </w:r>
      <w:r>
        <w:rPr>
          <w:rStyle w:val="Emphasis"/>
          <w:rFonts w:ascii="Times New Roman;Times;serif" w:hAnsi="Times New Roman;Times;serif"/>
          <w:b/>
          <w:sz w:val="20"/>
        </w:rPr>
        <w:t>5.</w:t>
      </w:r>
      <w:r>
        <w:rPr>
          <w:rFonts w:ascii="Times New Roman;Times;serif" w:hAnsi="Times New Roman;Times;serif"/>
          <w:b/>
          <w:sz w:val="20"/>
        </w:rPr>
        <w:t xml:space="preserve"> Supplemental Balance Sheet and Cash Flow Information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pPr>
      <w:r>
        <w:rPr>
          <w:rFonts w:ascii="Times New Roman" w:hAnsi="Times New Roman"/>
          <w:i/>
          <w:caps w:val="false"/>
          <w:smallCaps w:val="false"/>
          <w:sz w:val="20"/>
        </w:rPr>
        <w:t>Non-cash investing and financing activities</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modified an operating lease, resulting in a reassessment and reclassification of the lease as a finance lease. At the modification date, the carrying amounts of the operating lease right-of-use asset and lease liability were $62 million and $57 million, respectively. Following remeasurement, the Company recognized a finance lease right-of-use asset of $103 million and a finance lease liability of $98 million. The modification was a non-cash transaction and therefore is excluded from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pPr>
      <w:r>
        <w:rPr>
          <w:rFonts w:ascii="Times New Roman" w:hAnsi="Times New Roman"/>
          <w:i/>
          <w:caps w:val="false"/>
          <w:smallCaps w:val="false"/>
          <w:sz w:val="20"/>
        </w:rPr>
        <w:t>Supplier finance programs</w:t>
      </w:r>
      <w:r>
        <w:rPr>
          <w:rFonts w:ascii="Times New Roman" w:hAnsi="Times New Roman"/>
          <w:caps w:val="false"/>
          <w:smallCaps w:val="false"/>
          <w:sz w:val="20"/>
        </w:rPr>
        <w:t xml:space="preserve"> —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had $65 and $59, respectively, of confirmed obligations subject to supplier finance programs presented as accounts payable within total current liabilities on the consolidated balance sheet.</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Inventory components </w:t>
      </w:r>
      <w:r>
        <w:rPr>
          <w:rFonts w:ascii="Times New Roman;Times;serif" w:hAnsi="Times New Roman;Times;serif"/>
          <w:sz w:val="20"/>
        </w:rPr>
        <w:t>—</w:t>
      </w:r>
    </w:p>
    <w:p>
      <w:pPr>
        <w:pStyle w:val="TextBody"/>
        <w:bidi w:val="0"/>
        <w:spacing w:before="0" w:after="0"/>
        <w:ind w:left="0" w:right="0" w:hanging="0"/>
        <w:jc w:val="left"/>
      </w:pPr>
      <w:r>
        <w:t> </w:t>
      </w:r>
    </w:p>
    <w:tbl>
      <w:tblPr>
        <w:tblW w:w="6388" w:type="dxa"/>
        <w:jc w:val="left"/>
        <w:tblInd w:w="0" w:type="dxa"/>
        <w:tblLayout w:type="fixed"/>
        <w:tblCellMar>
          <w:top w:w="0" w:type="dxa"/>
          <w:left w:w="0" w:type="dxa"/>
          <w:bottom w:w="0" w:type="dxa"/>
          <w:right w:w="0" w:type="dxa"/>
        </w:tblCellMar>
      </w:tblPr>
      <w:tblGrid>
        <w:gridCol w:w="2915"/>
        <w:gridCol w:w="60"/>
        <w:gridCol w:w="444"/>
        <w:gridCol w:w="1195"/>
        <w:gridCol w:w="60"/>
        <w:gridCol w:w="60"/>
        <w:gridCol w:w="326"/>
        <w:gridCol w:w="1268"/>
        <w:gridCol w:w="60"/>
      </w:tblGrid>
      <w:tr>
        <w:tc>
          <w:tcPr>
            <w:tcW w:w="2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pPr>
            <w:r>
              <w:t> </w:t>
            </w:r>
          </w:p>
        </w:tc>
        <w:tc>
          <w:tcPr>
            <w:tcW w:w="4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w:t>
            </w:r>
          </w:p>
        </w:tc>
        <w:tc>
          <w:tcPr>
            <w:tcW w:w="60" w:type="dxa"/>
            <w:tcBorders/>
            <w:shd w:fill="CCEEFF" w:val="clear"/>
            <w:vAlign w:val="center"/>
          </w:tcPr>
          <w:p>
            <w:pPr>
              <w:pStyle w:val="TableContents"/>
              <w:bidi w:val="0"/>
              <w:spacing w:before="0" w:after="283"/>
              <w:ind w:left="0" w:right="0" w:hanging="0"/>
              <w:jc w:val="left"/>
            </w:pPr>
            <w:r>
              <w:t> </w:t>
            </w:r>
          </w:p>
        </w:tc>
      </w:tr>
      <w:t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 and finished goods</w:t>
            </w:r>
          </w:p>
        </w:tc>
        <w:tc>
          <w:tcPr>
            <w:tcW w:w="60" w:type="dxa"/>
            <w:tcBorders/>
            <w:shd w:fill="FFFFFF" w:val="clear"/>
            <w:vAlign w:val="center"/>
          </w:tcPr>
          <w:p>
            <w:pPr>
              <w:pStyle w:val="TableContents"/>
              <w:bidi w:val="0"/>
              <w:spacing w:before="0" w:after="0"/>
              <w:ind w:left="0" w:right="0" w:hanging="0"/>
              <w:jc w:val="left"/>
            </w:pPr>
            <w:r>
              <w:t> </w:t>
            </w:r>
          </w:p>
        </w:tc>
        <w:tc>
          <w:tcPr>
            <w:tcW w:w="4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cash equivalents and restricted cash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686"/>
        <w:gridCol w:w="60"/>
        <w:gridCol w:w="415"/>
        <w:gridCol w:w="1117"/>
        <w:gridCol w:w="60"/>
        <w:gridCol w:w="60"/>
        <w:gridCol w:w="403"/>
        <w:gridCol w:w="1084"/>
        <w:gridCol w:w="60"/>
        <w:gridCol w:w="60"/>
        <w:gridCol w:w="415"/>
        <w:gridCol w:w="1117"/>
        <w:gridCol w:w="60"/>
        <w:gridCol w:w="60"/>
        <w:gridCol w:w="403"/>
        <w:gridCol w:w="1084"/>
        <w:gridCol w:w="61"/>
      </w:tblGrid>
      <w:tr>
        <w:tc>
          <w:tcPr>
            <w:tcW w:w="36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December 31, 2024</w:t>
            </w:r>
          </w:p>
        </w:tc>
        <w:tc>
          <w:tcPr>
            <w:tcW w:w="61"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pPr>
            <w:r>
              <w:t> </w:t>
            </w:r>
          </w:p>
        </w:tc>
        <w:tc>
          <w:tcPr>
            <w:tcW w:w="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w:t>
            </w:r>
          </w:p>
        </w:tc>
        <w:tc>
          <w:tcPr>
            <w:tcW w:w="61" w:type="dxa"/>
            <w:tcBorders/>
            <w:shd w:fill="CCEEFF" w:val="clear"/>
            <w:vAlign w:val="center"/>
          </w:tcPr>
          <w:p>
            <w:pPr>
              <w:pStyle w:val="TableContents"/>
              <w:bidi w:val="0"/>
              <w:spacing w:before="0" w:after="283"/>
              <w:jc w:val="left"/>
            </w:pPr>
            <w:r>
              <w:t> </w:t>
            </w:r>
          </w:p>
        </w:tc>
      </w:tr>
      <w:tr>
        <w:tc>
          <w:tcPr>
            <w:tcW w:w="368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included in other current assets</w:t>
            </w:r>
          </w:p>
        </w:tc>
        <w:tc>
          <w:tcPr>
            <w:tcW w:w="60" w:type="dxa"/>
            <w:tcBorders/>
            <w:shd w:fill="FFFFFF" w:val="clear"/>
            <w:vAlign w:val="center"/>
          </w:tcPr>
          <w:p>
            <w:pPr>
              <w:pStyle w:val="TableContents"/>
              <w:bidi w:val="0"/>
              <w:spacing w:before="0" w:after="283"/>
              <w:jc w:val="left"/>
            </w:pPr>
            <w:r>
              <w:t> </w:t>
            </w:r>
          </w:p>
        </w:tc>
        <w:tc>
          <w:tcPr>
            <w:tcW w:w="415" w:type="dxa"/>
            <w:tcBorders/>
            <w:shd w:fill="FFFFFF" w:val="clear"/>
            <w:vAlign w:val="center"/>
          </w:tcPr>
          <w:p>
            <w:pPr>
              <w:pStyle w:val="TableContents"/>
              <w:bidi w:val="0"/>
              <w:spacing w:before="0" w:after="283"/>
              <w:jc w:val="left"/>
            </w:pPr>
            <w: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3" w:type="dxa"/>
            <w:tcBorders/>
            <w:shd w:fill="FFFFFF" w:val="clear"/>
            <w:vAlign w:val="center"/>
          </w:tcPr>
          <w:p>
            <w:pPr>
              <w:pStyle w:val="TableContents"/>
              <w:bidi w:val="0"/>
              <w:spacing w:before="0" w:after="283"/>
              <w:jc w:val="left"/>
            </w:pPr>
            <w:r>
              <w:t> </w:t>
            </w:r>
          </w:p>
        </w:tc>
        <w:tc>
          <w:tcPr>
            <w:tcW w:w="10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15" w:type="dxa"/>
            <w:tcBorders/>
            <w:shd w:fill="FFFFFF" w:val="clear"/>
            <w:vAlign w:val="center"/>
          </w:tcPr>
          <w:p>
            <w:pPr>
              <w:pStyle w:val="TableContents"/>
              <w:bidi w:val="0"/>
              <w:spacing w:before="0" w:after="283"/>
              <w:jc w:val="left"/>
            </w:pPr>
            <w:r>
              <w:t> </w:t>
            </w:r>
          </w:p>
        </w:tc>
        <w:tc>
          <w:tcPr>
            <w:tcW w:w="11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3" w:type="dxa"/>
            <w:tcBorders/>
            <w:shd w:fill="FFFFFF" w:val="clear"/>
            <w:vAlign w:val="center"/>
          </w:tcPr>
          <w:p>
            <w:pPr>
              <w:pStyle w:val="TableContents"/>
              <w:bidi w:val="0"/>
              <w:spacing w:before="0" w:after="283"/>
              <w:jc w:val="left"/>
            </w:pPr>
            <w:r>
              <w:t> </w:t>
            </w:r>
          </w:p>
        </w:tc>
        <w:tc>
          <w:tcPr>
            <w:tcW w:w="10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61" w:type="dxa"/>
            <w:tcBorders/>
            <w:shd w:fill="FFFFFF" w:val="clear"/>
            <w:vAlign w:val="center"/>
          </w:tcPr>
          <w:p>
            <w:pPr>
              <w:pStyle w:val="TableContents"/>
              <w:bidi w:val="0"/>
              <w:spacing w:before="0" w:after="283"/>
              <w:ind w:left="0" w:right="0" w:hanging="0"/>
              <w:jc w:val="left"/>
            </w:pPr>
            <w:r>
              <w:t> </w:t>
            </w:r>
          </w:p>
        </w:tc>
      </w:tr>
      <w:tr>
        <w:tc>
          <w:tcPr>
            <w:tcW w:w="3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included in other noncurrent assets</w:t>
            </w:r>
          </w:p>
        </w:tc>
        <w:tc>
          <w:tcPr>
            <w:tcW w:w="60" w:type="dxa"/>
            <w:tcBorders/>
            <w:shd w:fill="CCEEFF" w:val="clear"/>
            <w:vAlign w:val="center"/>
          </w:tcPr>
          <w:p>
            <w:pPr>
              <w:pStyle w:val="TableContents"/>
              <w:bidi w:val="0"/>
              <w:spacing w:before="0" w:after="0"/>
              <w:ind w:left="0" w:right="0" w:hanging="0"/>
              <w:jc w:val="left"/>
            </w:pPr>
            <w:r>
              <w:t> </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0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368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FFFFFF" w:val="clear"/>
            <w:vAlign w:val="center"/>
          </w:tcPr>
          <w:p>
            <w:pPr>
              <w:pStyle w:val="TableContents"/>
              <w:bidi w:val="0"/>
              <w:spacing w:before="0" w:after="283"/>
              <w:ind w:left="0" w:right="0" w:hanging="0"/>
              <w:jc w:val="left"/>
            </w:pPr>
            <w:r>
              <w:t> </w:t>
            </w:r>
          </w:p>
        </w:tc>
        <w:tc>
          <w:tcPr>
            <w:tcW w:w="4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Mandatorily redeemable noncontrolling interest — </w:t>
      </w:r>
      <w:r>
        <w:rPr>
          <w:rFonts w:ascii="Times New Roman;Times;serif" w:hAnsi="Times New Roman;Times;serif"/>
          <w:sz w:val="20"/>
        </w:rPr>
        <w:t xml:space="preserve">Hydro-Québec owned a 45% redeemable noncontrolling interest in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The terms of the joint venture agreement provided Hydro-Québec with the right to put all, and </w:t>
      </w:r>
      <w:r>
        <w:rPr>
          <w:rStyle w:val="Emphasis"/>
          <w:rFonts w:ascii="Times New Roman;Times;serif" w:hAnsi="Times New Roman;Times;serif"/>
          <w:sz w:val="20"/>
        </w:rPr>
        <w:t>not</w:t>
      </w:r>
      <w:r>
        <w:rPr>
          <w:rFonts w:ascii="Times New Roman;Times;serif" w:hAnsi="Times New Roman;Times;serif"/>
          <w:sz w:val="20"/>
        </w:rPr>
        <w:t xml:space="preserve"> less than all, of its ownership interests in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to Dana at fair value. On </w:t>
      </w:r>
      <w:r>
        <w:rPr>
          <w:rStyle w:val="Emphasis"/>
          <w:rFonts w:ascii="Times New Roman;Times;serif" w:hAnsi="Times New Roman;Times;serif"/>
          <w:sz w:val="20"/>
        </w:rPr>
        <w:t xml:space="preserve">May 6, 2024, </w:t>
      </w:r>
      <w:r>
        <w:rPr>
          <w:rFonts w:ascii="Times New Roman;Times;serif" w:hAnsi="Times New Roman;Times;serif"/>
          <w:sz w:val="20"/>
        </w:rPr>
        <w:t>Hydro</w:t>
        <w:noBreakHyphen/>
        <w:t xml:space="preserve">Québec delivered its put notice to Dana. Following this notice, Dana ceased attributing net income (loss) and other comprehensive income (loss) of Dana </w:t>
      </w:r>
      <w:r>
        <w:rPr>
          <w:rStyle w:val="Emphasis"/>
          <w:rFonts w:ascii="Times New Roman;Times;serif" w:hAnsi="Times New Roman;Times;serif"/>
          <w:sz w:val="20"/>
        </w:rPr>
        <w:t>TM4</w:t>
      </w:r>
      <w:r>
        <w:rPr>
          <w:rFonts w:ascii="Times New Roman;Times;serif" w:hAnsi="Times New Roman;Times;serif"/>
          <w:sz w:val="20"/>
        </w:rPr>
        <w:t xml:space="preserve"> Inc., Dana </w:t>
      </w:r>
      <w:r>
        <w:rPr>
          <w:rStyle w:val="Emphasis"/>
          <w:rFonts w:ascii="Times New Roman;Times;serif" w:hAnsi="Times New Roman;Times;serif"/>
          <w:sz w:val="20"/>
        </w:rPr>
        <w:t>TM4</w:t>
      </w:r>
      <w:r>
        <w:rPr>
          <w:rFonts w:ascii="Times New Roman;Times;serif" w:hAnsi="Times New Roman;Times;serif"/>
          <w:sz w:val="20"/>
        </w:rPr>
        <w:t xml:space="preserve"> Electric Holdings BV, and Dana </w:t>
      </w:r>
      <w:r>
        <w:rPr>
          <w:rStyle w:val="Emphasis"/>
          <w:rFonts w:ascii="Times New Roman;Times;serif" w:hAnsi="Times New Roman;Times;serif"/>
          <w:sz w:val="20"/>
        </w:rPr>
        <w:t>TM4</w:t>
      </w:r>
      <w:r>
        <w:rPr>
          <w:rFonts w:ascii="Times New Roman;Times;serif" w:hAnsi="Times New Roman;Times;serif"/>
          <w:sz w:val="20"/>
        </w:rPr>
        <w:t xml:space="preserve"> USA, LLC to Hydro</w:t>
        <w:noBreakHyphen/>
        <w:t xml:space="preserve">Québec’s redeemable noncontrolling interest. During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2025,</w:t>
      </w:r>
      <w:r>
        <w:rPr>
          <w:rFonts w:ascii="Times New Roman;Times;serif" w:hAnsi="Times New Roman;Times;serif"/>
          <w:sz w:val="20"/>
        </w:rPr>
        <w:t xml:space="preserve"> we finalized the purchase price with Hydro</w:t>
        <w:noBreakHyphen/>
        <w:t xml:space="preserve">Québec resulting in the redeemable noncontrolling interest becoming mandatorily redeemable and reclassified the $190 redemption value to other current liabilities. On </w:t>
      </w:r>
      <w:r>
        <w:rPr>
          <w:rStyle w:val="Emphasis"/>
          <w:rFonts w:ascii="Times New Roman;Times;serif" w:hAnsi="Times New Roman;Times;serif"/>
          <w:sz w:val="20"/>
        </w:rPr>
        <w:t xml:space="preserve">January 20, 2026, </w:t>
      </w:r>
      <w:r>
        <w:rPr>
          <w:rFonts w:ascii="Times New Roman;Times;serif" w:hAnsi="Times New Roman;Times;serif"/>
          <w:sz w:val="20"/>
        </w:rPr>
        <w:t>the transaction was completed and we paid Hydro-Québec the full purchase price of $190.</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bookmarkStart w:id="13" w:name="fn6"/>
      <w:bookmarkEnd w:id="13"/>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xml:space="preserve"> Stockholders’ Equity</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Common stock</w:t>
      </w:r>
      <w:r>
        <w:rPr>
          <w:rFonts w:ascii="Times New Roman;Times;serif" w:hAnsi="Times New Roman;Times;serif"/>
          <w:sz w:val="20"/>
        </w:rPr>
        <w:t xml:space="preserve"> — Our Board of Directors declared a cash dividend of twelve cents per share of common stock in the first, </w:t>
      </w:r>
      <w:r>
        <w:rPr>
          <w:rStyle w:val="Emphasis"/>
          <w:rFonts w:ascii="Times New Roman;Times;serif" w:hAnsi="Times New Roman;Times;serif"/>
          <w:sz w:val="20"/>
        </w:rPr>
        <w:t>second</w:t>
      </w:r>
      <w:r>
        <w:rPr>
          <w:rFonts w:ascii="Times New Roman;Times;serif" w:hAnsi="Times New Roman;Times;serif"/>
          <w:sz w:val="20"/>
        </w:rPr>
        <w:t xml:space="preserve"> and </w:t>
      </w:r>
      <w:r>
        <w:rPr>
          <w:rStyle w:val="Emphasis"/>
          <w:rFonts w:ascii="Times New Roman;Times;serif" w:hAnsi="Times New Roman;Times;serif"/>
          <w:sz w:val="20"/>
        </w:rPr>
        <w:t>third</w:t>
      </w:r>
      <w:r>
        <w:rPr>
          <w:rFonts w:ascii="Times New Roman;Times;serif" w:hAnsi="Times New Roman;Times;serif"/>
          <w:sz w:val="20"/>
        </w:rPr>
        <w:t xml:space="preserve"> quarters of </w:t>
      </w:r>
      <w:r>
        <w:rPr>
          <w:rStyle w:val="Emphasis"/>
          <w:rFonts w:ascii="Times New Roman;Times;serif" w:hAnsi="Times New Roman;Times;serif"/>
          <w:sz w:val="20"/>
        </w:rPr>
        <w:t>2026.</w:t>
      </w:r>
      <w:r>
        <w:rPr>
          <w:rFonts w:ascii="Times New Roman;Times;serif" w:hAnsi="Times New Roman;Times;serif"/>
          <w:sz w:val="20"/>
        </w:rPr>
        <w:t xml:space="preserve"> Dividends accrue on restricted stock units (RSUs), </w:t>
      </w:r>
      <w:r>
        <w:rPr>
          <w:rFonts w:ascii="Times New Roman;Times;serif" w:hAnsi="Times New Roman;Times;serif"/>
          <w:sz w:val="20"/>
          <w:shd w:fill="FFFFFF" w:val="clear"/>
        </w:rPr>
        <w:t>performance share units (PSUs) and the Dana Transformation Awards granted under our stock compensation program and will be paid in cash or additional units when the underlying units vest.</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shd w:fill="FFFFFF" w:val="clear"/>
        </w:rPr>
        <w:t>Share repurchase program</w:t>
      </w:r>
      <w:r>
        <w:rPr>
          <w:rFonts w:ascii="Times New Roman;Times;serif" w:hAnsi="Times New Roman;Times;serif"/>
          <w:sz w:val="20"/>
        </w:rPr>
        <w:t xml:space="preserve"> — On </w:t>
      </w:r>
      <w:r>
        <w:rPr>
          <w:rStyle w:val="Emphasis"/>
          <w:rFonts w:ascii="Times New Roman;Times;serif" w:hAnsi="Times New Roman;Times;serif"/>
          <w:sz w:val="20"/>
        </w:rPr>
        <w:t xml:space="preserve">June 8, 2025 </w:t>
      </w:r>
      <w:r>
        <w:rPr>
          <w:rFonts w:ascii="Times New Roman;Times;serif" w:hAnsi="Times New Roman;Times;serif"/>
          <w:sz w:val="20"/>
        </w:rPr>
        <w:t xml:space="preserve">our Board of Directors approved a stock repurchase program of up to an aggregate of $1,000 less any amount of special dividends distributed in connection with the sale of the Off-Highway business. The program was set to expire on </w:t>
      </w:r>
      <w:r>
        <w:rPr>
          <w:rStyle w:val="Emphasis"/>
          <w:rFonts w:ascii="Times New Roman;Times;serif" w:hAnsi="Times New Roman;Times;serif"/>
          <w:sz w:val="20"/>
        </w:rPr>
        <w:t xml:space="preserve">December 31, 2027. </w:t>
      </w:r>
      <w:r>
        <w:rPr>
          <w:rFonts w:ascii="Times New Roman;Times;serif" w:hAnsi="Times New Roman;Times;serif"/>
          <w:sz w:val="20"/>
        </w:rPr>
        <w:t xml:space="preserve">On </w:t>
      </w:r>
      <w:r>
        <w:rPr>
          <w:rStyle w:val="Emphasis"/>
          <w:rFonts w:ascii="Times New Roman;Times;serif" w:hAnsi="Times New Roman;Times;serif"/>
          <w:sz w:val="20"/>
        </w:rPr>
        <w:t xml:space="preserve">February 11, 2026, </w:t>
      </w:r>
      <w:r>
        <w:rPr>
          <w:rFonts w:ascii="Times New Roman;Times;serif" w:hAnsi="Times New Roman;Times;serif"/>
          <w:sz w:val="20"/>
        </w:rPr>
        <w:t xml:space="preserve">our Board of Directors increased and extended the share repurchase program to a total of $2,000 through </w:t>
      </w:r>
      <w:r>
        <w:rPr>
          <w:rStyle w:val="Emphasis"/>
          <w:rFonts w:ascii="Times New Roman;Times;serif" w:hAnsi="Times New Roman;Times;serif"/>
          <w:sz w:val="20"/>
        </w:rPr>
        <w:t xml:space="preserve">December 31, 2030. </w:t>
      </w:r>
      <w:r>
        <w:rPr>
          <w:rFonts w:ascii="Times New Roman;Times;serif" w:hAnsi="Times New Roman;Times;serif"/>
          <w:sz w:val="20"/>
        </w:rPr>
        <w:t xml:space="preserve">We repurchased 6,565,350 and 12,230,264 shares of our common stock at an aggregate cost of $200 and $369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through open market transactions. Approximately $981 remained available under the program for future share repurchases as of </w:t>
      </w:r>
      <w:r>
        <w:rPr>
          <w:rStyle w:val="Emphasis"/>
          <w:rFonts w:ascii="Times New Roman;Times;serif" w:hAnsi="Times New Roman;Times;serif"/>
          <w:sz w:val="20"/>
        </w:rPr>
        <w:t>September 30,</w:t>
      </w:r>
      <w:r>
        <w:rPr>
          <w:rFonts w:ascii="Times New Roman;Times;serif" w:hAnsi="Times New Roman;Times;serif"/>
          <w:sz w:val="20"/>
        </w:rPr>
        <w:t xml:space="preserve"> </w:t>
      </w:r>
      <w:r>
        <w:rPr>
          <w:rStyle w:val="Emphasis"/>
          <w:rFonts w:ascii="Times New Roman;Times;serif" w:hAnsi="Times New Roman;Times;serif"/>
          <w:sz w:val="20"/>
        </w:rPr>
        <w:t>2026.</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sz w:val="20"/>
        </w:rPr>
        <w:t xml:space="preserve">The Inflation Reduction Act of </w:t>
      </w:r>
      <w:r>
        <w:rPr>
          <w:rStyle w:val="Emphasis"/>
          <w:rFonts w:ascii="Times New Roman;Times;serif" w:hAnsi="Times New Roman;Times;serif"/>
          <w:sz w:val="20"/>
        </w:rPr>
        <w:t>2022,</w:t>
      </w:r>
      <w:r>
        <w:rPr>
          <w:rFonts w:ascii="Times New Roman;Times;serif" w:hAnsi="Times New Roman;Times;serif"/>
          <w:sz w:val="20"/>
        </w:rPr>
        <w:t xml:space="preserve"> which was enacted into law on </w:t>
      </w:r>
      <w:r>
        <w:rPr>
          <w:rStyle w:val="Emphasis"/>
          <w:rFonts w:ascii="Times New Roman;Times;serif" w:hAnsi="Times New Roman;Times;serif"/>
          <w:sz w:val="20"/>
        </w:rPr>
        <w:t xml:space="preserve">August 16, 2022, </w:t>
      </w:r>
      <w:r>
        <w:rPr>
          <w:rFonts w:ascii="Times New Roman;Times;serif" w:hAnsi="Times New Roman;Times;serif"/>
          <w:sz w:val="20"/>
        </w:rPr>
        <w:t xml:space="preserve">imposed a non-deductible </w:t>
      </w:r>
      <w:r>
        <w:rPr>
          <w:rStyle w:val="Emphasis"/>
          <w:rFonts w:ascii="Times New Roman;Times;serif" w:hAnsi="Times New Roman;Times;serif"/>
          <w:sz w:val="20"/>
        </w:rPr>
        <w:t>1%</w:t>
      </w:r>
      <w:r>
        <w:rPr>
          <w:rFonts w:ascii="Times New Roman;Times;serif" w:hAnsi="Times New Roman;Times;serif"/>
          <w:sz w:val="20"/>
        </w:rPr>
        <w:t xml:space="preserve"> excise tax on the net value of certain stock repurchases made after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We reflect the applicable excise tax as part of the cost basis of the stock repurchased and record a corresponding liability for the excise taxes payable in other accrued liabilities on our consolidated balance sheet.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paid $6 of excise taxes related to </w:t>
      </w:r>
      <w:r>
        <w:rPr>
          <w:rStyle w:val="Emphasis"/>
          <w:rFonts w:ascii="Times New Roman;Times;serif" w:hAnsi="Times New Roman;Times;serif"/>
          <w:sz w:val="20"/>
        </w:rPr>
        <w:t>2025</w:t>
      </w:r>
      <w:r>
        <w:rPr>
          <w:rFonts w:ascii="Times New Roman;Times;serif" w:hAnsi="Times New Roman;Times;serif"/>
          <w:sz w:val="20"/>
        </w:rPr>
        <w:t xml:space="preserve"> share repurchases. The payment is included in other, net within financing activities in the consolidated statement of cash flows. All dollar amounts presented in this report related to our share repurchases and our share repurchase authorization exclude such excise taxes, to the extent applicable, unless otherwise indicated.</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equity</w:t>
      </w:r>
      <w:r>
        <w:rPr>
          <w:rFonts w:ascii="Times New Roman;Times;serif" w:hAnsi="Times New Roman;Times;serif"/>
          <w:sz w:val="20"/>
        </w:rP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1897"/>
        <w:gridCol w:w="60"/>
        <w:gridCol w:w="405"/>
        <w:gridCol w:w="405"/>
        <w:gridCol w:w="60"/>
        <w:gridCol w:w="60"/>
        <w:gridCol w:w="229"/>
        <w:gridCol w:w="886"/>
        <w:gridCol w:w="80"/>
        <w:gridCol w:w="60"/>
        <w:gridCol w:w="180"/>
        <w:gridCol w:w="705"/>
        <w:gridCol w:w="80"/>
        <w:gridCol w:w="60"/>
        <w:gridCol w:w="240"/>
        <w:gridCol w:w="570"/>
        <w:gridCol w:w="80"/>
        <w:gridCol w:w="60"/>
        <w:gridCol w:w="312"/>
        <w:gridCol w:w="1384"/>
        <w:gridCol w:w="80"/>
        <w:gridCol w:w="60"/>
        <w:gridCol w:w="483"/>
        <w:gridCol w:w="882"/>
        <w:gridCol w:w="80"/>
        <w:gridCol w:w="60"/>
        <w:gridCol w:w="132"/>
        <w:gridCol w:w="513"/>
        <w:gridCol w:w="102"/>
      </w:tblGrid>
      <w:tr>
        <w:tc>
          <w:tcPr>
            <w:tcW w:w="1897"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2026</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Common Stock</w:t>
            </w:r>
          </w:p>
        </w:tc>
        <w:tc>
          <w:tcPr>
            <w:tcW w:w="6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Additional Paid-In Capital</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8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Retained Earnings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1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Treasury Stock</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69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Accumulated Other Comprehensive Loss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6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Non-controlling Interests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4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Total Equity</w:t>
            </w:r>
          </w:p>
        </w:tc>
        <w:tc>
          <w:tcPr>
            <w:tcW w:w="102" w:type="dxa"/>
            <w:tcBorders>
              <w:bottom w:val="single" w:sz="2" w:space="0" w:color="000000"/>
            </w:tcBorders>
            <w:shd w:fill="FFFFFF" w:val="clear"/>
            <w:vAlign w:val="center"/>
          </w:tcPr>
          <w:p>
            <w:pPr>
              <w:pStyle w:val="TableContents"/>
              <w:bidi w:val="0"/>
              <w:spacing w:before="0" w:after="283"/>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2025</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1,671</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899</w:t>
            </w:r>
          </w:p>
        </w:tc>
        <w:tc>
          <w:tcPr>
            <w:tcW w:w="102" w:type="dxa"/>
            <w:tcBorders/>
            <w:shd w:fill="CCEEFF" w:val="clear"/>
            <w:tcMar>
              <w:bottom w:w="0" w:type="dxa"/>
            </w:tcMar>
            <w:vAlign w:val="center"/>
          </w:tcPr>
          <w:p>
            <w:pPr>
              <w:pStyle w:val="TableContents"/>
              <w:bidi w:val="0"/>
              <w:spacing w:before="0" w:after="283"/>
              <w:jc w:val="left"/>
            </w:pPr>
            <w:r>
              <w:t> </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1,087</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40" w:type="dxa"/>
            <w:tcBorders/>
            <w:shd w:fill="FFFFFF" w:val="clear"/>
            <w:tcMar>
              <w:bottom w:w="0" w:type="dxa"/>
            </w:tcMar>
            <w:vAlign w:val="center"/>
          </w:tcPr>
          <w:p>
            <w:pPr>
              <w:pStyle w:val="TableContents"/>
              <w:bidi w:val="0"/>
              <w:spacing w:before="0" w:after="0"/>
              <w:ind w:left="0" w:right="0" w:hanging="0"/>
              <w:jc w:val="left"/>
            </w:pPr>
            <w:r>
              <w:t> </w:t>
            </w:r>
          </w:p>
        </w:tc>
        <w:tc>
          <w:tcPr>
            <w:tcW w:w="570" w:type="dxa"/>
            <w:tcBorders/>
            <w:shd w:fill="FFFFFF" w:val="clear"/>
            <w:tcMar>
              <w:bottom w:w="0" w:type="dxa"/>
            </w:tcMar>
            <w:vAlign w:val="center"/>
          </w:tcPr>
          <w:p>
            <w:pPr>
              <w:pStyle w:val="TableContents"/>
              <w:bidi w:val="0"/>
              <w:spacing w:before="0" w:after="0"/>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1,091</w:t>
            </w:r>
          </w:p>
        </w:tc>
        <w:tc>
          <w:tcPr>
            <w:tcW w:w="102" w:type="dxa"/>
            <w:tcBorders/>
            <w:shd w:fill="FFFFFF" w:val="clear"/>
            <w:tcMar>
              <w:bottom w:w="0" w:type="dxa"/>
            </w:tcMar>
            <w:vAlign w:val="center"/>
          </w:tcPr>
          <w:p>
            <w:pPr>
              <w:pStyle w:val="TableContents"/>
              <w:bidi w:val="0"/>
              <w:spacing w:before="0" w:after="283"/>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176</w:t>
            </w:r>
          </w:p>
        </w:tc>
        <w:tc>
          <w:tcPr>
            <w:tcW w:w="102" w:type="dxa"/>
            <w:tcBorders/>
            <w:shd w:fill="CCEEFF" w:val="clear"/>
            <w:tcMar>
              <w:bottom w:w="0" w:type="dxa"/>
            </w:tcMar>
            <w:vAlign w:val="center"/>
          </w:tcPr>
          <w:p>
            <w:pPr>
              <w:pStyle w:val="TableContents"/>
              <w:bidi w:val="0"/>
              <w:spacing w:before="0" w:after="283"/>
              <w:jc w:val="left"/>
            </w:pPr>
            <w:r>
              <w:t> </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and dividend equivalents</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40" w:type="dxa"/>
            <w:tcBorders/>
            <w:shd w:fill="FFFFFF" w:val="clear"/>
            <w:tcMar>
              <w:bottom w:w="0" w:type="dxa"/>
            </w:tcMar>
            <w:vAlign w:val="center"/>
          </w:tcPr>
          <w:p>
            <w:pPr>
              <w:pStyle w:val="TableContents"/>
              <w:bidi w:val="0"/>
              <w:spacing w:before="0" w:after="0"/>
              <w:ind w:left="0" w:right="0" w:hanging="0"/>
              <w:jc w:val="left"/>
            </w:pPr>
            <w:r>
              <w:t> </w:t>
            </w:r>
          </w:p>
        </w:tc>
        <w:tc>
          <w:tcPr>
            <w:tcW w:w="570" w:type="dxa"/>
            <w:tcBorders/>
            <w:shd w:fill="FFFFFF" w:val="clear"/>
            <w:tcMar>
              <w:bottom w:w="0" w:type="dxa"/>
            </w:tcMar>
            <w:vAlign w:val="center"/>
          </w:tcPr>
          <w:p>
            <w:pPr>
              <w:pStyle w:val="TableContents"/>
              <w:bidi w:val="0"/>
              <w:spacing w:before="0" w:after="0"/>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share repurchases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(126</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noncontrolling interests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0" w:type="dxa"/>
            <w:tcBorders/>
            <w:shd w:fill="CCEEFF" w:val="clear"/>
            <w:tcMar>
              <w:bottom w:w="0" w:type="dxa"/>
            </w:tcMar>
            <w:vAlign w:val="center"/>
          </w:tcPr>
          <w:p>
            <w:pPr>
              <w:pStyle w:val="TableContents"/>
              <w:bidi w:val="0"/>
              <w:spacing w:before="0" w:after="0"/>
              <w:ind w:left="0" w:right="0" w:hanging="0"/>
              <w:jc w:val="left"/>
            </w:pPr>
            <w:r>
              <w:t> </w:t>
            </w:r>
          </w:p>
        </w:tc>
        <w:tc>
          <w:tcPr>
            <w:tcW w:w="570" w:type="dxa"/>
            <w:tcBorders/>
            <w:shd w:fill="CCEEFF" w:val="clear"/>
            <w:tcMar>
              <w:bottom w:w="0" w:type="dxa"/>
            </w:tcMar>
            <w:vAlign w:val="center"/>
          </w:tcPr>
          <w:p>
            <w:pPr>
              <w:pStyle w:val="TableContents"/>
              <w:bidi w:val="0"/>
              <w:spacing w:before="0" w:after="0"/>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compensation</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40" w:type="dxa"/>
            <w:tcBorders/>
            <w:shd w:fill="FFFFFF" w:val="clear"/>
            <w:tcMar>
              <w:bottom w:w="0" w:type="dxa"/>
            </w:tcMar>
            <w:vAlign w:val="center"/>
          </w:tcPr>
          <w:p>
            <w:pPr>
              <w:pStyle w:val="TableContents"/>
              <w:bidi w:val="0"/>
              <w:spacing w:before="0" w:after="0"/>
              <w:ind w:left="0" w:right="0" w:hanging="0"/>
              <w:jc w:val="left"/>
            </w:pPr>
            <w:r>
              <w:t> </w:t>
            </w:r>
          </w:p>
        </w:tc>
        <w:tc>
          <w:tcPr>
            <w:tcW w:w="570" w:type="dxa"/>
            <w:tcBorders/>
            <w:shd w:fill="FFFFFF" w:val="clear"/>
            <w:tcMar>
              <w:bottom w:w="0" w:type="dxa"/>
            </w:tcMar>
            <w:vAlign w:val="center"/>
          </w:tcPr>
          <w:p>
            <w:pPr>
              <w:pStyle w:val="TableContents"/>
              <w:bidi w:val="0"/>
              <w:spacing w:before="0" w:after="0"/>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102" w:type="dxa"/>
            <w:tcBorders/>
            <w:shd w:fill="FFFFFF" w:val="clear"/>
            <w:tcMar>
              <w:bottom w:w="0" w:type="dxa"/>
            </w:tcMar>
            <w:vAlign w:val="center"/>
          </w:tcPr>
          <w:p>
            <w:pPr>
              <w:pStyle w:val="TableContents"/>
              <w:bidi w:val="0"/>
              <w:spacing w:before="0" w:after="283"/>
              <w:ind w:left="0" w:right="0" w:hanging="0"/>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withheld for employee taxes</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0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405"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6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29"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886"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705"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4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7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2"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1384"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83"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882"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32"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1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2"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2026</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1,554</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1,308</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7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2,014</w:t>
            </w:r>
          </w:p>
        </w:tc>
        <w:tc>
          <w:tcPr>
            <w:tcW w:w="102" w:type="dxa"/>
            <w:tcBorders/>
            <w:shd w:fill="FFFFFF" w:val="clear"/>
            <w:tcMar>
              <w:bottom w:w="0" w:type="dxa"/>
            </w:tcMar>
            <w:vAlign w:val="center"/>
          </w:tcPr>
          <w:p>
            <w:pPr>
              <w:pStyle w:val="TableContents"/>
              <w:bidi w:val="0"/>
              <w:spacing w:before="0" w:after="283"/>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pPr>
            <w:r>
              <w:t>—</w:t>
            </w:r>
          </w:p>
        </w:tc>
        <w:tc>
          <w:tcPr>
            <w:tcW w:w="102" w:type="dxa"/>
            <w:tcBorders/>
            <w:shd w:fill="CCEEFF" w:val="clear"/>
            <w:tcMar>
              <w:bottom w:w="0" w:type="dxa"/>
            </w:tcMar>
            <w:vAlign w:val="center"/>
          </w:tcPr>
          <w:p>
            <w:pPr>
              <w:pStyle w:val="TableContents"/>
              <w:bidi w:val="0"/>
              <w:spacing w:before="0" w:after="283"/>
              <w:jc w:val="left"/>
            </w:pPr>
            <w:r>
              <w:t> </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102" w:type="dxa"/>
            <w:tcBorders/>
            <w:shd w:fill="FFFFFF" w:val="clear"/>
            <w:tcMar>
              <w:bottom w:w="0" w:type="dxa"/>
            </w:tcMar>
            <w:vAlign w:val="center"/>
          </w:tcPr>
          <w:p>
            <w:pPr>
              <w:pStyle w:val="TableContents"/>
              <w:bidi w:val="0"/>
              <w:spacing w:before="0" w:after="283"/>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and dividend equivalents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share repurchases</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compensation</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405"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405"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29"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88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705"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4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570"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312"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1384"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483"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882"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51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2" w:type="dxa"/>
            <w:tcBorders>
              <w:bottom w:val="single" w:sz="2" w:space="0" w:color="000000"/>
            </w:tcBorders>
            <w:shd w:fill="FFFFFF" w:val="clear"/>
            <w:vAlign w:val="center"/>
          </w:tcPr>
          <w:p>
            <w:pPr>
              <w:pStyle w:val="TableContents"/>
              <w:bidi w:val="0"/>
              <w:spacing w:before="0" w:after="0"/>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30, 2026</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1,518</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1,290</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48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3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1,983</w:t>
            </w:r>
          </w:p>
        </w:tc>
        <w:tc>
          <w:tcPr>
            <w:tcW w:w="102" w:type="dxa"/>
            <w:tcBorders/>
            <w:shd w:fill="CCEEFF" w:val="clear"/>
            <w:tcMar>
              <w:bottom w:w="0" w:type="dxa"/>
            </w:tcMar>
            <w:vAlign w:val="center"/>
          </w:tcPr>
          <w:p>
            <w:pPr>
              <w:pStyle w:val="TableContents"/>
              <w:bidi w:val="0"/>
              <w:spacing w:before="0" w:after="283"/>
              <w:jc w:val="left"/>
            </w:pPr>
            <w:r>
              <w:t> </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p>
        </w:tc>
        <w:tc>
          <w:tcPr>
            <w:tcW w:w="102" w:type="dxa"/>
            <w:tcBorders/>
            <w:shd w:fill="FFFFFF" w:val="clear"/>
            <w:tcMar>
              <w:bottom w:w="0" w:type="dxa"/>
            </w:tcMar>
            <w:vAlign w:val="center"/>
          </w:tcPr>
          <w:p>
            <w:pPr>
              <w:pStyle w:val="TableContents"/>
              <w:bidi w:val="0"/>
              <w:spacing w:before="0" w:after="283"/>
              <w:jc w:val="left"/>
            </w:pPr>
            <w:r>
              <w:t> </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dividends and dividend equivalents</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w:t>
            </w:r>
          </w:p>
        </w:tc>
        <w:tc>
          <w:tcPr>
            <w:tcW w:w="10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share repurchases</w:t>
            </w:r>
          </w:p>
        </w:tc>
        <w:tc>
          <w:tcPr>
            <w:tcW w:w="60"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left"/>
            </w:pPr>
            <w:r>
              <w:t> </w:t>
            </w:r>
          </w:p>
        </w:tc>
        <w:tc>
          <w:tcPr>
            <w:tcW w:w="405" w:type="dxa"/>
            <w:tcBorders/>
            <w:shd w:fill="CCEEFF" w:val="clear"/>
            <w:tcMar>
              <w:bottom w:w="0" w:type="dxa"/>
            </w:tcMar>
            <w:vAlign w:val="center"/>
          </w:tcPr>
          <w:p>
            <w:pPr>
              <w:pStyle w:val="TableContents"/>
              <w:bidi w:val="0"/>
              <w:spacing w:before="0" w:after="283"/>
              <w:jc w:val="right"/>
            </w:pPr>
            <w:r>
              <w:rPr>
                <w:rStyle w:val="Emphasis"/>
              </w:rP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29" w:type="dxa"/>
            <w:tcBorders/>
            <w:shd w:fill="CCEEFF" w:val="clear"/>
            <w:tcMar>
              <w:bottom w:w="0" w:type="dxa"/>
            </w:tcMar>
            <w:vAlign w:val="center"/>
          </w:tcPr>
          <w:p>
            <w:pPr>
              <w:pStyle w:val="TableContents"/>
              <w:bidi w:val="0"/>
              <w:spacing w:before="0" w:after="283"/>
              <w:jc w:val="left"/>
            </w:pPr>
            <w: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180" w:type="dxa"/>
            <w:tcBorders/>
            <w:shd w:fill="CCEEFF" w:val="clear"/>
            <w:tcMar>
              <w:bottom w:w="0" w:type="dxa"/>
            </w:tcMar>
            <w:vAlign w:val="center"/>
          </w:tcPr>
          <w:p>
            <w:pPr>
              <w:pStyle w:val="TableContents"/>
              <w:bidi w:val="0"/>
              <w:spacing w:before="0" w:after="283"/>
              <w:jc w:val="left"/>
            </w:pPr>
            <w:r>
              <w:t> </w:t>
            </w:r>
          </w:p>
        </w:tc>
        <w:tc>
          <w:tcPr>
            <w:tcW w:w="705"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jc w:val="left"/>
            </w:pPr>
            <w:r>
              <w:t> </w:t>
            </w:r>
          </w:p>
        </w:tc>
        <w:tc>
          <w:tcPr>
            <w:tcW w:w="570"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12" w:type="dxa"/>
            <w:tcBorders/>
            <w:shd w:fill="CCEEFF" w:val="clear"/>
            <w:tcMar>
              <w:bottom w:w="0" w:type="dxa"/>
            </w:tcMar>
            <w:vAlign w:val="center"/>
          </w:tcPr>
          <w:p>
            <w:pPr>
              <w:pStyle w:val="TableContents"/>
              <w:bidi w:val="0"/>
              <w:spacing w:before="0" w:after="283"/>
              <w:jc w:val="left"/>
            </w:pPr>
            <w:r>
              <w:t> </w:t>
            </w:r>
          </w:p>
        </w:tc>
        <w:tc>
          <w:tcPr>
            <w:tcW w:w="1384"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483" w:type="dxa"/>
            <w:tcBorders/>
            <w:shd w:fill="CCEEFF" w:val="clear"/>
            <w:tcMar>
              <w:bottom w:w="0" w:type="dxa"/>
            </w:tcMar>
            <w:vAlign w:val="center"/>
          </w:tcPr>
          <w:p>
            <w:pPr>
              <w:pStyle w:val="TableContents"/>
              <w:bidi w:val="0"/>
              <w:spacing w:before="0" w:after="283"/>
              <w:jc w:val="left"/>
            </w:pPr>
            <w:r>
              <w:t> </w:t>
            </w:r>
          </w:p>
        </w:tc>
        <w:tc>
          <w:tcPr>
            <w:tcW w:w="882"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32" w:type="dxa"/>
            <w:tcBorders/>
            <w:shd w:fill="CCEEFF" w:val="clear"/>
            <w:tcMar>
              <w:bottom w:w="0" w:type="dxa"/>
            </w:tcMar>
            <w:vAlign w:val="center"/>
          </w:tcPr>
          <w:p>
            <w:pPr>
              <w:pStyle w:val="TableContents"/>
              <w:bidi w:val="0"/>
              <w:spacing w:before="0" w:after="283"/>
              <w:jc w:val="left"/>
            </w:pPr>
            <w:r>
              <w:t> </w:t>
            </w:r>
          </w:p>
        </w:tc>
        <w:tc>
          <w:tcPr>
            <w:tcW w:w="51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(203</w:t>
            </w:r>
          </w:p>
        </w:tc>
        <w:tc>
          <w:tcPr>
            <w:tcW w:w="1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left"/>
            </w:pPr>
            <w:r>
              <w:t> </w:t>
            </w:r>
          </w:p>
        </w:tc>
        <w:tc>
          <w:tcPr>
            <w:tcW w:w="405" w:type="dxa"/>
            <w:tcBorders/>
            <w:shd w:fill="FFFFFF" w:val="clear"/>
            <w:tcMar>
              <w:bottom w:w="0" w:type="dxa"/>
            </w:tcMar>
            <w:vAlign w:val="center"/>
          </w:tcPr>
          <w:p>
            <w:pPr>
              <w:pStyle w:val="TableContents"/>
              <w:bidi w:val="0"/>
              <w:spacing w:before="0" w:after="283"/>
              <w:jc w:val="right"/>
            </w:pPr>
            <w:r>
              <w:rPr>
                <w:rStyle w:val="Emphasis"/>
              </w:rPr>
              <w:t> </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29" w:type="dxa"/>
            <w:tcBorders/>
            <w:shd w:fill="FFFFFF" w:val="clear"/>
            <w:tcMar>
              <w:bottom w:w="0" w:type="dxa"/>
            </w:tcMar>
            <w:vAlign w:val="center"/>
          </w:tcPr>
          <w:p>
            <w:pPr>
              <w:pStyle w:val="TableContents"/>
              <w:bidi w:val="0"/>
              <w:spacing w:before="0" w:after="283"/>
              <w:jc w:val="left"/>
            </w:pPr>
            <w:r>
              <w:t> </w:t>
            </w:r>
          </w:p>
        </w:tc>
        <w:tc>
          <w:tcPr>
            <w:tcW w:w="886"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80" w:type="dxa"/>
            <w:tcBorders/>
            <w:shd w:fill="FFFFFF" w:val="clear"/>
            <w:tcMar>
              <w:bottom w:w="0" w:type="dxa"/>
            </w:tcMar>
            <w:vAlign w:val="center"/>
          </w:tcPr>
          <w:p>
            <w:pPr>
              <w:pStyle w:val="TableContents"/>
              <w:bidi w:val="0"/>
              <w:spacing w:before="0" w:after="283"/>
              <w:jc w:val="left"/>
            </w:pPr>
            <w:r>
              <w:t> </w:t>
            </w:r>
          </w:p>
        </w:tc>
        <w:tc>
          <w:tcPr>
            <w:tcW w:w="705"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jc w:val="left"/>
            </w:pPr>
            <w:r>
              <w:t> </w:t>
            </w:r>
          </w:p>
        </w:tc>
        <w:tc>
          <w:tcPr>
            <w:tcW w:w="570"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12" w:type="dxa"/>
            <w:tcBorders/>
            <w:shd w:fill="FFFFFF" w:val="clear"/>
            <w:tcMar>
              <w:bottom w:w="0" w:type="dxa"/>
            </w:tcMar>
            <w:vAlign w:val="center"/>
          </w:tcPr>
          <w:p>
            <w:pPr>
              <w:pStyle w:val="TableContents"/>
              <w:bidi w:val="0"/>
              <w:spacing w:before="0" w:after="283"/>
              <w:jc w:val="left"/>
            </w:pPr>
            <w:r>
              <w:t> </w:t>
            </w:r>
          </w:p>
        </w:tc>
        <w:tc>
          <w:tcPr>
            <w:tcW w:w="1384"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483" w:type="dxa"/>
            <w:tcBorders/>
            <w:shd w:fill="FFFFFF" w:val="clear"/>
            <w:tcMar>
              <w:bottom w:w="0" w:type="dxa"/>
            </w:tcMar>
            <w:vAlign w:val="center"/>
          </w:tcPr>
          <w:p>
            <w:pPr>
              <w:pStyle w:val="TableContents"/>
              <w:bidi w:val="0"/>
              <w:spacing w:before="0" w:after="283"/>
              <w:jc w:val="left"/>
            </w:pPr>
            <w:r>
              <w:t> </w:t>
            </w:r>
          </w:p>
        </w:tc>
        <w:tc>
          <w:tcPr>
            <w:tcW w:w="8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32" w:type="dxa"/>
            <w:tcBorders/>
            <w:shd w:fill="FFFFFF" w:val="clear"/>
            <w:tcMar>
              <w:bottom w:w="0" w:type="dxa"/>
            </w:tcMar>
            <w:vAlign w:val="center"/>
          </w:tcPr>
          <w:p>
            <w:pPr>
              <w:pStyle w:val="TableContents"/>
              <w:bidi w:val="0"/>
              <w:spacing w:before="0" w:after="283"/>
              <w:jc w:val="left"/>
            </w:pPr>
            <w:r>
              <w:t> </w:t>
            </w:r>
          </w:p>
        </w:tc>
        <w:tc>
          <w:tcPr>
            <w:tcW w:w="51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w:t>
            </w:r>
          </w:p>
        </w:tc>
        <w:tc>
          <w:tcPr>
            <w:tcW w:w="10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compensation</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05" w:type="dxa"/>
            <w:tcBorders/>
            <w:shd w:fill="CCEEFF" w:val="clear"/>
            <w:tcMar>
              <w:bottom w:w="0" w:type="dxa"/>
            </w:tcMar>
            <w:vAlign w:val="center"/>
          </w:tcPr>
          <w:p>
            <w:pPr>
              <w:pStyle w:val="TableContents"/>
              <w:bidi w:val="0"/>
              <w:spacing w:before="0" w:after="0"/>
              <w:ind w:left="0" w:right="0" w:hanging="0"/>
              <w:jc w:val="left"/>
            </w:pPr>
            <w:r>
              <w:t> </w:t>
            </w:r>
          </w:p>
        </w:tc>
        <w:tc>
          <w:tcPr>
            <w:tcW w:w="405" w:type="dxa"/>
            <w:tcBorders/>
            <w:shd w:fill="CCEEFF" w:val="clear"/>
            <w:tcMar>
              <w:bottom w:w="0" w:type="dxa"/>
            </w:tcMar>
            <w:vAlign w:val="center"/>
          </w:tcPr>
          <w:p>
            <w:pPr>
              <w:pStyle w:val="TableContents"/>
              <w:bidi w:val="0"/>
              <w:spacing w:before="0" w:after="0"/>
              <w:ind w:left="0" w:right="0" w:hanging="0"/>
              <w:jc w:val="right"/>
            </w:pPr>
            <w:r>
              <w:rPr>
                <w:rStyle w:val="Emphasis"/>
              </w:rP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29" w:type="dxa"/>
            <w:tcBorders/>
            <w:shd w:fill="CCEEFF" w:val="clear"/>
            <w:tcMar>
              <w:bottom w:w="0" w:type="dxa"/>
            </w:tcMar>
            <w:vAlign w:val="center"/>
          </w:tcPr>
          <w:p>
            <w:pPr>
              <w:pStyle w:val="TableContents"/>
              <w:bidi w:val="0"/>
              <w:spacing w:before="0" w:after="0"/>
              <w:ind w:left="0" w:right="0" w:hanging="0"/>
              <w:jc w:val="left"/>
            </w:pPr>
            <w:r>
              <w:t> </w:t>
            </w:r>
          </w:p>
        </w:tc>
        <w:tc>
          <w:tcPr>
            <w:tcW w:w="88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8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80" w:type="dxa"/>
            <w:tcBorders/>
            <w:shd w:fill="CCEEFF" w:val="clear"/>
            <w:tcMar>
              <w:bottom w:w="0" w:type="dxa"/>
            </w:tcMar>
            <w:vAlign w:val="center"/>
          </w:tcPr>
          <w:p>
            <w:pPr>
              <w:pStyle w:val="TableContents"/>
              <w:bidi w:val="0"/>
              <w:spacing w:before="0" w:after="0"/>
              <w:ind w:left="0" w:right="0" w:hanging="0"/>
              <w:jc w:val="left"/>
            </w:pPr>
            <w:r>
              <w:t> </w:t>
            </w:r>
          </w:p>
        </w:tc>
        <w:tc>
          <w:tcPr>
            <w:tcW w:w="705" w:type="dxa"/>
            <w:tcBorders/>
            <w:shd w:fill="CCEEFF" w:val="clear"/>
            <w:tcMar>
              <w:bottom w:w="0" w:type="dxa"/>
            </w:tcMar>
            <w:vAlign w:val="center"/>
          </w:tcPr>
          <w:p>
            <w:pPr>
              <w:pStyle w:val="TableContents"/>
              <w:bidi w:val="0"/>
              <w:spacing w:before="0" w:after="0"/>
              <w:ind w:left="0" w:right="0" w:hanging="0"/>
              <w:jc w:val="right"/>
            </w:pPr>
            <w:r>
              <w:rPr>
                <w:rStyle w:val="Emphasis"/>
              </w:rPr>
              <w:t> </w:t>
            </w:r>
          </w:p>
        </w:tc>
        <w:tc>
          <w:tcPr>
            <w:tcW w:w="8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40" w:type="dxa"/>
            <w:tcBorders/>
            <w:shd w:fill="CCEEFF" w:val="clear"/>
            <w:tcMar>
              <w:bottom w:w="0" w:type="dxa"/>
            </w:tcMar>
            <w:vAlign w:val="center"/>
          </w:tcPr>
          <w:p>
            <w:pPr>
              <w:pStyle w:val="TableContents"/>
              <w:bidi w:val="0"/>
              <w:spacing w:before="0" w:after="0"/>
              <w:ind w:left="0" w:right="0" w:hanging="0"/>
              <w:jc w:val="left"/>
            </w:pPr>
            <w:r>
              <w:t> </w:t>
            </w:r>
          </w:p>
        </w:tc>
        <w:tc>
          <w:tcPr>
            <w:tcW w:w="570" w:type="dxa"/>
            <w:tcBorders/>
            <w:shd w:fill="CCEEFF" w:val="clear"/>
            <w:tcMar>
              <w:bottom w:w="0" w:type="dxa"/>
            </w:tcMar>
            <w:vAlign w:val="center"/>
          </w:tcPr>
          <w:p>
            <w:pPr>
              <w:pStyle w:val="TableContents"/>
              <w:bidi w:val="0"/>
              <w:spacing w:before="0" w:after="0"/>
              <w:ind w:left="0" w:right="0" w:hanging="0"/>
              <w:jc w:val="right"/>
            </w:pPr>
            <w:r>
              <w:rPr>
                <w:rStyle w:val="Emphasis"/>
              </w:rPr>
              <w:t> </w:t>
            </w:r>
          </w:p>
        </w:tc>
        <w:tc>
          <w:tcPr>
            <w:tcW w:w="8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2" w:type="dxa"/>
            <w:tcBorders/>
            <w:shd w:fill="CCEEFF" w:val="clear"/>
            <w:tcMar>
              <w:bottom w:w="0" w:type="dxa"/>
            </w:tcMar>
            <w:vAlign w:val="center"/>
          </w:tcPr>
          <w:p>
            <w:pPr>
              <w:pStyle w:val="TableContents"/>
              <w:bidi w:val="0"/>
              <w:spacing w:before="0" w:after="0"/>
              <w:ind w:left="0" w:right="0" w:hanging="0"/>
              <w:jc w:val="left"/>
            </w:pPr>
            <w:r>
              <w:t> </w:t>
            </w:r>
          </w:p>
        </w:tc>
        <w:tc>
          <w:tcPr>
            <w:tcW w:w="1384" w:type="dxa"/>
            <w:tcBorders/>
            <w:shd w:fill="CCEEFF" w:val="clear"/>
            <w:tcMar>
              <w:bottom w:w="0" w:type="dxa"/>
            </w:tcMar>
            <w:vAlign w:val="center"/>
          </w:tcPr>
          <w:p>
            <w:pPr>
              <w:pStyle w:val="TableContents"/>
              <w:bidi w:val="0"/>
              <w:spacing w:before="0" w:after="0"/>
              <w:ind w:left="0" w:right="0" w:hanging="0"/>
              <w:jc w:val="right"/>
            </w:pPr>
            <w:r>
              <w:rPr>
                <w:rStyle w:val="Emphasis"/>
              </w:rPr>
              <w:t> </w:t>
            </w:r>
          </w:p>
        </w:tc>
        <w:tc>
          <w:tcPr>
            <w:tcW w:w="8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83" w:type="dxa"/>
            <w:tcBorders/>
            <w:shd w:fill="CCEEFF" w:val="clear"/>
            <w:tcMar>
              <w:bottom w:w="0" w:type="dxa"/>
            </w:tcMar>
            <w:vAlign w:val="center"/>
          </w:tcPr>
          <w:p>
            <w:pPr>
              <w:pStyle w:val="TableContents"/>
              <w:bidi w:val="0"/>
              <w:spacing w:before="0" w:after="0"/>
              <w:ind w:left="0" w:right="0" w:hanging="0"/>
              <w:jc w:val="left"/>
            </w:pPr>
            <w:r>
              <w:t> </w:t>
            </w:r>
          </w:p>
        </w:tc>
        <w:tc>
          <w:tcPr>
            <w:tcW w:w="882" w:type="dxa"/>
            <w:tcBorders/>
            <w:shd w:fill="CCEEFF" w:val="clear"/>
            <w:tcMar>
              <w:bottom w:w="0" w:type="dxa"/>
            </w:tcMar>
            <w:vAlign w:val="center"/>
          </w:tcPr>
          <w:p>
            <w:pPr>
              <w:pStyle w:val="TableContents"/>
              <w:bidi w:val="0"/>
              <w:spacing w:before="0" w:after="0"/>
              <w:ind w:left="0" w:right="0" w:hanging="0"/>
              <w:jc w:val="right"/>
            </w:pPr>
            <w:r>
              <w:rPr>
                <w:rStyle w:val="Emphasis"/>
              </w:rPr>
              <w:t> </w:t>
            </w:r>
          </w:p>
        </w:tc>
        <w:tc>
          <w:tcPr>
            <w:tcW w:w="80" w:type="dxa"/>
            <w:tcBorders/>
            <w:shd w:fill="CCEEFF" w:val="clear"/>
            <w:tcMar>
              <w:bottom w:w="0" w:type="dxa"/>
            </w:tcM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32" w:type="dxa"/>
            <w:tcBorders/>
            <w:shd w:fill="CCEEFF" w:val="clear"/>
            <w:tcMar>
              <w:bottom w:w="0" w:type="dxa"/>
            </w:tcMar>
            <w:vAlign w:val="center"/>
          </w:tcPr>
          <w:p>
            <w:pPr>
              <w:pStyle w:val="TableContents"/>
              <w:bidi w:val="0"/>
              <w:spacing w:before="0" w:after="0"/>
              <w:ind w:left="0" w:right="0" w:hanging="0"/>
              <w:jc w:val="left"/>
            </w:pPr>
            <w:r>
              <w:t> </w:t>
            </w:r>
          </w:p>
        </w:tc>
        <w:tc>
          <w:tcPr>
            <w:tcW w:w="51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2" w:type="dxa"/>
            <w:tcBorders/>
            <w:shd w:fill="CCEEFF" w:val="clear"/>
            <w:tcMar>
              <w:bottom w:w="0" w:type="dxa"/>
            </w:tcMar>
            <w:vAlign w:val="center"/>
          </w:tcPr>
          <w:p>
            <w:pPr>
              <w:pStyle w:val="TableContents"/>
              <w:bidi w:val="0"/>
              <w:spacing w:before="0" w:after="0"/>
              <w:jc w:val="left"/>
            </w:pPr>
            <w:r>
              <w:t> </w:t>
            </w:r>
          </w:p>
        </w:tc>
      </w:tr>
      <w:tr>
        <w:tc>
          <w:tcPr>
            <w:tcW w:w="189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withheld for employee taxes</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05"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405"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60" w:type="dxa"/>
            <w:tcBorders>
              <w:bottom w:val="single" w:sz="2" w:space="0" w:color="000000"/>
            </w:tcBorders>
            <w:shd w:fill="FFFFFF" w:val="clear"/>
            <w:vAlign w:val="center"/>
          </w:tcPr>
          <w:p>
            <w:pPr>
              <w:pStyle w:val="TableContents"/>
              <w:bidi w:val="0"/>
              <w:spacing w:before="0" w:after="0"/>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29"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886"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8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705"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40"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57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single" w:sz="2" w:space="0" w:color="000000"/>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12"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1384"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83"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882" w:type="dxa"/>
            <w:tcBorders>
              <w:bottom w:val="single" w:sz="2" w:space="0" w:color="000000"/>
            </w:tcBorders>
            <w:shd w:fill="FFFF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vAlign w:val="center"/>
          </w:tcPr>
          <w:p>
            <w:pPr>
              <w:pStyle w:val="TableContents"/>
              <w:bidi w:val="0"/>
              <w:spacing w:before="0" w:after="0"/>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2" w:type="dxa"/>
            <w:tcBorders>
              <w:bottom w:val="single" w:sz="2" w:space="0" w:color="000000"/>
            </w:tcBorders>
            <w:shd w:fill="FFFFFF" w:val="clear"/>
            <w:vAlign w:val="center"/>
          </w:tcPr>
          <w:p>
            <w:pPr>
              <w:pStyle w:val="TableContents"/>
              <w:bidi w:val="0"/>
              <w:spacing w:before="0" w:after="0"/>
              <w:ind w:left="0" w:right="0" w:hanging="0"/>
              <w:jc w:val="left"/>
            </w:pPr>
            <w:r>
              <w:t> </w:t>
            </w:r>
          </w:p>
        </w:tc>
        <w:tc>
          <w:tcPr>
            <w:tcW w:w="51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2"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c>
          <w:tcPr>
            <w:tcW w:w="18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September 30, 2026</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0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0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bottom w:val="double" w:sz="6"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29"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w:t>
            </w:r>
          </w:p>
        </w:tc>
        <w:tc>
          <w:tcPr>
            <w:tcW w:w="80" w:type="dxa"/>
            <w:tcBorders>
              <w:bottom w:val="double" w:sz="6"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1,291</w:t>
            </w:r>
          </w:p>
        </w:tc>
        <w:tc>
          <w:tcPr>
            <w:tcW w:w="80" w:type="dxa"/>
            <w:tcBorders>
              <w:bottom w:val="double" w:sz="6"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2"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8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(847</w:t>
            </w:r>
          </w:p>
        </w:tc>
        <w:tc>
          <w:tcPr>
            <w:tcW w:w="8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483"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80" w:type="dxa"/>
            <w:tcBorders>
              <w:bottom w:val="double" w:sz="6"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32"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3"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1,776</w:t>
            </w:r>
          </w:p>
        </w:tc>
        <w:tc>
          <w:tcPr>
            <w:tcW w:w="102" w:type="dxa"/>
            <w:tcBorders>
              <w:bottom w:val="double" w:sz="6" w:space="0" w:color="000000"/>
            </w:tcBorders>
            <w:shd w:fill="CCEEFF" w:val="clear"/>
            <w:vAlign w:val="center"/>
          </w:tcPr>
          <w:p>
            <w:pPr>
              <w:pStyle w:val="TableContents"/>
              <w:bidi w:val="0"/>
              <w:spacing w:before="0" w:after="0"/>
              <w:jc w:val="left"/>
            </w:pPr>
            <w:r>
              <w: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2111"/>
        <w:gridCol w:w="60"/>
        <w:gridCol w:w="311"/>
        <w:gridCol w:w="481"/>
        <w:gridCol w:w="80"/>
        <w:gridCol w:w="60"/>
        <w:gridCol w:w="218"/>
        <w:gridCol w:w="847"/>
        <w:gridCol w:w="80"/>
        <w:gridCol w:w="60"/>
        <w:gridCol w:w="235"/>
        <w:gridCol w:w="621"/>
        <w:gridCol w:w="80"/>
        <w:gridCol w:w="60"/>
        <w:gridCol w:w="235"/>
        <w:gridCol w:w="557"/>
        <w:gridCol w:w="80"/>
        <w:gridCol w:w="60"/>
        <w:gridCol w:w="298"/>
        <w:gridCol w:w="1321"/>
        <w:gridCol w:w="80"/>
        <w:gridCol w:w="60"/>
        <w:gridCol w:w="396"/>
        <w:gridCol w:w="941"/>
        <w:gridCol w:w="80"/>
        <w:gridCol w:w="60"/>
        <w:gridCol w:w="129"/>
        <w:gridCol w:w="501"/>
        <w:gridCol w:w="103"/>
      </w:tblGrid>
      <w:tr>
        <w:tc>
          <w:tcPr>
            <w:tcW w:w="211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Common Stock</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065"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Additional Paid-In Capital</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856"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Retained Earnings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792"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Treasury Stock</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619"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Accumulated Other Comprehensive Loss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37"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Non-controlling Interests</w:t>
            </w:r>
          </w:p>
        </w:tc>
        <w:tc>
          <w:tcPr>
            <w:tcW w:w="8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30"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18"/>
              </w:rPr>
              <w:t>Total Equity</w:t>
            </w:r>
          </w:p>
        </w:tc>
        <w:tc>
          <w:tcPr>
            <w:tcW w:w="103" w:type="dxa"/>
            <w:tcBorders>
              <w:bottom w:val="single" w:sz="2" w:space="0" w:color="000000"/>
            </w:tcBorders>
            <w:shd w:fill="FFFFFF" w:val="clear"/>
            <w:vAlign w:val="center"/>
          </w:tcPr>
          <w:p>
            <w:pPr>
              <w:pStyle w:val="TableContents"/>
              <w:bidi w:val="0"/>
              <w:spacing w:before="0" w:after="283"/>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2024</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1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2,282</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9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2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9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1,396</w:t>
            </w:r>
          </w:p>
        </w:tc>
        <w:tc>
          <w:tcPr>
            <w:tcW w:w="103" w:type="dxa"/>
            <w:tcBorders/>
            <w:shd w:fill="CCEEFF" w:val="clear"/>
            <w:tcMar>
              <w:bottom w:w="0" w:type="dxa"/>
            </w:tcMar>
            <w:vAlign w:val="center"/>
          </w:tcPr>
          <w:p>
            <w:pPr>
              <w:pStyle w:val="TableContents"/>
              <w:bidi w:val="0"/>
              <w:spacing w:before="0" w:after="283"/>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ind w:left="0" w:right="0" w:hanging="0"/>
              <w:jc w:val="left"/>
            </w:pPr>
            <w:r>
              <w:t> </w:t>
            </w:r>
          </w:p>
        </w:tc>
        <w:tc>
          <w:tcPr>
            <w:tcW w:w="6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ind w:left="0" w:right="0" w:hanging="0"/>
              <w:jc w:val="left"/>
            </w:pPr>
            <w:r>
              <w:t> </w:t>
            </w:r>
          </w:p>
        </w:tc>
        <w:tc>
          <w:tcPr>
            <w:tcW w:w="9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ind w:left="0" w:right="0" w:hanging="0"/>
              <w:jc w:val="left"/>
            </w:pPr>
            <w:r>
              <w:t> </w:t>
            </w:r>
          </w:p>
        </w:tc>
        <w:tc>
          <w:tcPr>
            <w:tcW w:w="5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103" w:type="dxa"/>
            <w:tcBorders/>
            <w:shd w:fill="FFFFFF" w:val="clear"/>
            <w:tcMar>
              <w:bottom w:w="0" w:type="dxa"/>
            </w:tcMar>
            <w:vAlign w:val="center"/>
          </w:tcPr>
          <w:p>
            <w:pPr>
              <w:pStyle w:val="TableContents"/>
              <w:bidi w:val="0"/>
              <w:spacing w:before="0" w:after="283"/>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103" w:type="dxa"/>
            <w:tcBorders/>
            <w:shd w:fill="CCEEFF" w:val="clear"/>
            <w:tcMar>
              <w:bottom w:w="0" w:type="dxa"/>
            </w:tcMar>
            <w:vAlign w:val="center"/>
          </w:tcPr>
          <w:p>
            <w:pPr>
              <w:pStyle w:val="TableContents"/>
              <w:bidi w:val="0"/>
              <w:spacing w:before="0" w:after="283"/>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dividends and dividend equivalents</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ind w:left="0" w:right="0" w:hanging="0"/>
              <w:jc w:val="left"/>
            </w:pPr>
            <w:r>
              <w:t> </w:t>
            </w:r>
          </w:p>
        </w:tc>
        <w:tc>
          <w:tcPr>
            <w:tcW w:w="6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ind w:left="0" w:right="0" w:hanging="0"/>
              <w:jc w:val="left"/>
            </w:pPr>
            <w:r>
              <w:t> </w:t>
            </w:r>
          </w:p>
        </w:tc>
        <w:tc>
          <w:tcPr>
            <w:tcW w:w="5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compensation</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ind w:left="0" w:right="0" w:hanging="0"/>
              <w:jc w:val="left"/>
            </w:pPr>
            <w:r>
              <w:t> </w:t>
            </w:r>
          </w:p>
        </w:tc>
        <w:tc>
          <w:tcPr>
            <w:tcW w:w="8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ind w:left="0" w:right="0" w:hanging="0"/>
              <w:jc w:val="left"/>
            </w:pPr>
            <w:r>
              <w:t> </w:t>
            </w:r>
          </w:p>
        </w:tc>
        <w:tc>
          <w:tcPr>
            <w:tcW w:w="5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withheld for employee taxes</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1"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48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847"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5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9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13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96"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94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29"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0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3" w:type="dxa"/>
            <w:tcBorders>
              <w:bottom w:val="single" w:sz="2" w:space="0" w:color="000000"/>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2025</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4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84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2,294</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214</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13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1,446</w:t>
            </w:r>
          </w:p>
        </w:tc>
        <w:tc>
          <w:tcPr>
            <w:tcW w:w="103" w:type="dxa"/>
            <w:tcBorders/>
            <w:shd w:fill="FFFFFF" w:val="clear"/>
            <w:tcMar>
              <w:bottom w:w="0" w:type="dxa"/>
            </w:tcMar>
            <w:vAlign w:val="center"/>
          </w:tcPr>
          <w:p>
            <w:pPr>
              <w:pStyle w:val="TableContents"/>
              <w:bidi w:val="0"/>
              <w:spacing w:before="0" w:after="283"/>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w:t>
            </w:r>
          </w:p>
        </w:tc>
        <w:tc>
          <w:tcPr>
            <w:tcW w:w="103" w:type="dxa"/>
            <w:tcBorders/>
            <w:shd w:fill="CCEEFF" w:val="clear"/>
            <w:tcMar>
              <w:bottom w:w="0" w:type="dxa"/>
            </w:tcMar>
            <w:vAlign w:val="center"/>
          </w:tcPr>
          <w:p>
            <w:pPr>
              <w:pStyle w:val="TableContents"/>
              <w:bidi w:val="0"/>
              <w:spacing w:before="0" w:after="283"/>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w:t>
            </w:r>
          </w:p>
        </w:tc>
        <w:tc>
          <w:tcPr>
            <w:tcW w:w="103" w:type="dxa"/>
            <w:tcBorders/>
            <w:shd w:fill="FFFFFF" w:val="clear"/>
            <w:tcMar>
              <w:bottom w:w="0" w:type="dxa"/>
            </w:tcMar>
            <w:vAlign w:val="center"/>
          </w:tcPr>
          <w:p>
            <w:pPr>
              <w:pStyle w:val="TableContents"/>
              <w:bidi w:val="0"/>
              <w:spacing w:before="0" w:after="283"/>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dividends and dividend equivalents</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common stock shares</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(259</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noncontrolling interests</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w:t>
            </w:r>
          </w:p>
        </w:tc>
        <w:tc>
          <w:tcPr>
            <w:tcW w:w="10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compensation</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1"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48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84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57"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9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13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96"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94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29"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0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3" w:type="dxa"/>
            <w:tcBorders>
              <w:bottom w:val="single" w:sz="2" w:space="0" w:color="000000"/>
            </w:tcBorders>
            <w:shd w:fill="CCEEFF" w:val="clear"/>
            <w:vAlign w:val="center"/>
          </w:tcPr>
          <w:p>
            <w:pPr>
              <w:pStyle w:val="TableContents"/>
              <w:bidi w:val="0"/>
              <w:spacing w:before="0" w:after="0"/>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30, 2025</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1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1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2,045</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9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2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9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0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1,270</w:t>
            </w:r>
          </w:p>
        </w:tc>
        <w:tc>
          <w:tcPr>
            <w:tcW w:w="103" w:type="dxa"/>
            <w:tcBorders/>
            <w:shd w:fill="FFFFFF" w:val="clear"/>
            <w:tcMar>
              <w:bottom w:w="0" w:type="dxa"/>
            </w:tcMar>
            <w:vAlign w:val="center"/>
          </w:tcPr>
          <w:p>
            <w:pPr>
              <w:pStyle w:val="TableContents"/>
              <w:bidi w:val="0"/>
              <w:spacing w:before="0" w:after="283"/>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83</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w:t>
            </w:r>
          </w:p>
        </w:tc>
        <w:tc>
          <w:tcPr>
            <w:tcW w:w="103" w:type="dxa"/>
            <w:tcBorders/>
            <w:shd w:fill="CCEEFF" w:val="clear"/>
            <w:tcMar>
              <w:bottom w:w="0" w:type="dxa"/>
            </w:tcMar>
            <w:vAlign w:val="center"/>
          </w:tcPr>
          <w:p>
            <w:pPr>
              <w:pStyle w:val="TableContents"/>
              <w:bidi w:val="0"/>
              <w:spacing w:before="0" w:after="283"/>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dividends and dividend equivalents</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interests</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w:t>
            </w:r>
          </w:p>
        </w:tc>
        <w:tc>
          <w:tcPr>
            <w:tcW w:w="1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common stock shares</w:t>
            </w:r>
          </w:p>
        </w:tc>
        <w:tc>
          <w:tcPr>
            <w:tcW w:w="60" w:type="dxa"/>
            <w:tcBorders/>
            <w:shd w:fill="CCEEFF" w:val="clear"/>
            <w:tcMar>
              <w:bottom w:w="0" w:type="dxa"/>
            </w:tcMar>
            <w:vAlign w:val="center"/>
          </w:tcPr>
          <w:p>
            <w:pPr>
              <w:pStyle w:val="TableContents"/>
              <w:bidi w:val="0"/>
              <w:spacing w:before="0" w:after="283"/>
              <w:jc w:val="left"/>
            </w:pPr>
            <w:r>
              <w:t> </w:t>
            </w:r>
          </w:p>
        </w:tc>
        <w:tc>
          <w:tcPr>
            <w:tcW w:w="311" w:type="dxa"/>
            <w:tcBorders/>
            <w:shd w:fill="CCEEFF" w:val="clear"/>
            <w:tcMar>
              <w:bottom w:w="0" w:type="dxa"/>
            </w:tcMar>
            <w:vAlign w:val="center"/>
          </w:tcPr>
          <w:p>
            <w:pPr>
              <w:pStyle w:val="TableContents"/>
              <w:bidi w:val="0"/>
              <w:spacing w:before="0" w:after="283"/>
              <w:jc w:val="left"/>
            </w:pPr>
            <w:r>
              <w:t> </w:t>
            </w:r>
          </w:p>
        </w:tc>
        <w:tc>
          <w:tcPr>
            <w:tcW w:w="48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18" w:type="dxa"/>
            <w:tcBorders/>
            <w:shd w:fill="CCEEFF" w:val="clear"/>
            <w:tcMar>
              <w:bottom w:w="0" w:type="dxa"/>
            </w:tcMar>
            <w:vAlign w:val="center"/>
          </w:tcPr>
          <w:p>
            <w:pPr>
              <w:pStyle w:val="TableContents"/>
              <w:bidi w:val="0"/>
              <w:spacing w:before="0" w:after="283"/>
              <w:jc w:val="left"/>
            </w:pPr>
            <w:r>
              <w:t> </w:t>
            </w:r>
          </w:p>
        </w:tc>
        <w:tc>
          <w:tcPr>
            <w:tcW w:w="8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6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35" w:type="dxa"/>
            <w:tcBorders/>
            <w:shd w:fill="CCEEFF" w:val="clear"/>
            <w:tcMar>
              <w:bottom w:w="0" w:type="dxa"/>
            </w:tcMar>
            <w:vAlign w:val="center"/>
          </w:tcPr>
          <w:p>
            <w:pPr>
              <w:pStyle w:val="TableContents"/>
              <w:bidi w:val="0"/>
              <w:spacing w:before="0" w:after="283"/>
              <w:jc w:val="left"/>
            </w:pPr>
            <w:r>
              <w:t> </w:t>
            </w:r>
          </w:p>
        </w:tc>
        <w:tc>
          <w:tcPr>
            <w:tcW w:w="557"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98" w:type="dxa"/>
            <w:tcBorders/>
            <w:shd w:fill="CCEEFF" w:val="clear"/>
            <w:tcMar>
              <w:bottom w:w="0" w:type="dxa"/>
            </w:tcMar>
            <w:vAlign w:val="center"/>
          </w:tcPr>
          <w:p>
            <w:pPr>
              <w:pStyle w:val="TableContents"/>
              <w:bidi w:val="0"/>
              <w:spacing w:before="0" w:after="283"/>
              <w:jc w:val="left"/>
            </w:pPr>
            <w:r>
              <w:t> </w:t>
            </w:r>
          </w:p>
        </w:tc>
        <w:tc>
          <w:tcPr>
            <w:tcW w:w="132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396" w:type="dxa"/>
            <w:tcBorders/>
            <w:shd w:fill="CCEEFF" w:val="clear"/>
            <w:tcMar>
              <w:bottom w:w="0" w:type="dxa"/>
            </w:tcMar>
            <w:vAlign w:val="center"/>
          </w:tcPr>
          <w:p>
            <w:pPr>
              <w:pStyle w:val="TableContents"/>
              <w:bidi w:val="0"/>
              <w:spacing w:before="0" w:after="283"/>
              <w:jc w:val="left"/>
            </w:pPr>
            <w:r>
              <w:t> </w:t>
            </w:r>
          </w:p>
        </w:tc>
        <w:tc>
          <w:tcPr>
            <w:tcW w:w="941" w:type="dxa"/>
            <w:tcBorders/>
            <w:shd w:fill="CCEEFF" w:val="clear"/>
            <w:tcMar>
              <w:bottom w:w="0" w:type="dxa"/>
            </w:tcMar>
            <w:vAlign w:val="center"/>
          </w:tcPr>
          <w:p>
            <w:pPr>
              <w:pStyle w:val="TableContents"/>
              <w:bidi w:val="0"/>
              <w:spacing w:before="0" w:after="283"/>
              <w:jc w:val="right"/>
            </w:pPr>
            <w:r>
              <w:rPr>
                <w:rStyle w:val="Emphasis"/>
              </w:rPr>
              <w:t> </w:t>
            </w:r>
          </w:p>
        </w:tc>
        <w:tc>
          <w:tcPr>
            <w:tcW w:w="8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29" w:type="dxa"/>
            <w:tcBorders/>
            <w:shd w:fill="CCEEFF" w:val="clear"/>
            <w:tcMar>
              <w:bottom w:w="0" w:type="dxa"/>
            </w:tcMar>
            <w:vAlign w:val="center"/>
          </w:tcPr>
          <w:p>
            <w:pPr>
              <w:pStyle w:val="TableContents"/>
              <w:bidi w:val="0"/>
              <w:spacing w:before="0" w:after="283"/>
              <w:jc w:val="left"/>
            </w:pPr>
            <w:r>
              <w:t> </w:t>
            </w:r>
          </w:p>
        </w:tc>
        <w:tc>
          <w:tcPr>
            <w:tcW w:w="5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(189</w:t>
            </w:r>
          </w:p>
        </w:tc>
        <w:tc>
          <w:tcPr>
            <w:tcW w:w="1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Redeemable noncontrolling interests adjustment to redemption value</w:t>
            </w:r>
          </w:p>
        </w:tc>
        <w:tc>
          <w:tcPr>
            <w:tcW w:w="60" w:type="dxa"/>
            <w:tcBorders/>
            <w:shd w:fill="FFFFFF" w:val="clear"/>
            <w:tcMar>
              <w:bottom w:w="0" w:type="dxa"/>
            </w:tcMar>
            <w:vAlign w:val="center"/>
          </w:tcPr>
          <w:p>
            <w:pPr>
              <w:pStyle w:val="TableContents"/>
              <w:bidi w:val="0"/>
              <w:spacing w:before="0" w:after="283"/>
              <w:jc w:val="left"/>
            </w:pPr>
            <w:r>
              <w:t> </w:t>
            </w:r>
          </w:p>
        </w:tc>
        <w:tc>
          <w:tcPr>
            <w:tcW w:w="311" w:type="dxa"/>
            <w:tcBorders/>
            <w:shd w:fill="FFFFFF" w:val="clear"/>
            <w:tcMar>
              <w:bottom w:w="0" w:type="dxa"/>
            </w:tcMar>
            <w:vAlign w:val="center"/>
          </w:tcPr>
          <w:p>
            <w:pPr>
              <w:pStyle w:val="TableContents"/>
              <w:bidi w:val="0"/>
              <w:spacing w:before="0" w:after="283"/>
              <w:jc w:val="left"/>
            </w:pPr>
            <w:r>
              <w:t> </w:t>
            </w:r>
          </w:p>
        </w:tc>
        <w:tc>
          <w:tcPr>
            <w:tcW w:w="48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18" w:type="dxa"/>
            <w:tcBorders/>
            <w:shd w:fill="FFFFFF" w:val="clear"/>
            <w:tcMar>
              <w:bottom w:w="0" w:type="dxa"/>
            </w:tcMar>
            <w:vAlign w:val="center"/>
          </w:tcPr>
          <w:p>
            <w:pPr>
              <w:pStyle w:val="TableContents"/>
              <w:bidi w:val="0"/>
              <w:spacing w:before="0" w:after="283"/>
              <w:jc w:val="left"/>
            </w:pPr>
            <w:r>
              <w:t> </w:t>
            </w:r>
          </w:p>
        </w:tc>
        <w:tc>
          <w:tcPr>
            <w:tcW w:w="84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62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35" w:type="dxa"/>
            <w:tcBorders/>
            <w:shd w:fill="FFFFFF" w:val="clear"/>
            <w:tcMar>
              <w:bottom w:w="0" w:type="dxa"/>
            </w:tcMar>
            <w:vAlign w:val="center"/>
          </w:tcPr>
          <w:p>
            <w:pPr>
              <w:pStyle w:val="TableContents"/>
              <w:bidi w:val="0"/>
              <w:spacing w:before="0" w:after="283"/>
              <w:jc w:val="left"/>
            </w:pPr>
            <w:r>
              <w:t> </w:t>
            </w:r>
          </w:p>
        </w:tc>
        <w:tc>
          <w:tcPr>
            <w:tcW w:w="557"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98" w:type="dxa"/>
            <w:tcBorders/>
            <w:shd w:fill="FFFFFF" w:val="clear"/>
            <w:tcMar>
              <w:bottom w:w="0" w:type="dxa"/>
            </w:tcMar>
            <w:vAlign w:val="center"/>
          </w:tcPr>
          <w:p>
            <w:pPr>
              <w:pStyle w:val="TableContents"/>
              <w:bidi w:val="0"/>
              <w:spacing w:before="0" w:after="283"/>
              <w:jc w:val="left"/>
            </w:pPr>
            <w:r>
              <w:t> </w:t>
            </w:r>
          </w:p>
        </w:tc>
        <w:tc>
          <w:tcPr>
            <w:tcW w:w="132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396" w:type="dxa"/>
            <w:tcBorders/>
            <w:shd w:fill="FFFFFF" w:val="clear"/>
            <w:tcMar>
              <w:bottom w:w="0" w:type="dxa"/>
            </w:tcMar>
            <w:vAlign w:val="center"/>
          </w:tcPr>
          <w:p>
            <w:pPr>
              <w:pStyle w:val="TableContents"/>
              <w:bidi w:val="0"/>
              <w:spacing w:before="0" w:after="283"/>
              <w:jc w:val="left"/>
            </w:pPr>
            <w:r>
              <w:t> </w:t>
            </w:r>
          </w:p>
        </w:tc>
        <w:tc>
          <w:tcPr>
            <w:tcW w:w="941" w:type="dxa"/>
            <w:tcBorders/>
            <w:shd w:fill="FFFFFF" w:val="clear"/>
            <w:tcMar>
              <w:bottom w:w="0" w:type="dxa"/>
            </w:tcMar>
            <w:vAlign w:val="center"/>
          </w:tcPr>
          <w:p>
            <w:pPr>
              <w:pStyle w:val="TableContents"/>
              <w:bidi w:val="0"/>
              <w:spacing w:before="0" w:after="283"/>
              <w:jc w:val="right"/>
            </w:pPr>
            <w:r>
              <w:rPr>
                <w:rStyle w:val="Emphasis"/>
              </w:rPr>
              <w:t> </w:t>
            </w:r>
          </w:p>
        </w:tc>
        <w:tc>
          <w:tcPr>
            <w:tcW w:w="8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29" w:type="dxa"/>
            <w:tcBorders/>
            <w:shd w:fill="FFFFFF" w:val="clear"/>
            <w:tcMar>
              <w:bottom w:w="0" w:type="dxa"/>
            </w:tcMar>
            <w:vAlign w:val="center"/>
          </w:tcPr>
          <w:p>
            <w:pPr>
              <w:pStyle w:val="TableContents"/>
              <w:bidi w:val="0"/>
              <w:spacing w:before="0" w:after="283"/>
              <w:jc w:val="left"/>
            </w:pPr>
            <w:r>
              <w:t> </w:t>
            </w:r>
          </w:p>
        </w:tc>
        <w:tc>
          <w:tcPr>
            <w:tcW w:w="50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103" w:type="dxa"/>
            <w:tcBorders/>
            <w:shd w:fill="FFFFFF" w:val="clear"/>
            <w:tcMar>
              <w:bottom w:w="0" w:type="dxa"/>
            </w:tcMar>
            <w:vAlign w:val="center"/>
          </w:tcPr>
          <w:p>
            <w:pPr>
              <w:pStyle w:val="TableContents"/>
              <w:bidi w:val="0"/>
              <w:spacing w:before="0" w:after="283"/>
              <w:ind w:left="0" w:right="0" w:hanging="0"/>
              <w:jc w:val="left"/>
            </w:pPr>
            <w:r>
              <w:t> </w:t>
            </w:r>
          </w:p>
        </w:tc>
      </w:tr>
      <w:tr>
        <w:tc>
          <w:tcPr>
            <w:tcW w:w="21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compensation</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11"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48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847"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35"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57"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298"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132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396"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941" w:type="dxa"/>
            <w:tcBorders>
              <w:bottom w:val="single" w:sz="2" w:space="0" w:color="000000"/>
            </w:tcBorders>
            <w:shd w:fill="CCEEFF" w:val="cle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60" w:type="dxa"/>
            <w:tcBorders/>
            <w:shd w:fill="CCEEFF" w:val="clear"/>
            <w:tcMar>
              <w:bottom w:w="0" w:type="dxa"/>
            </w:tcMar>
            <w:vAlign w:val="center"/>
          </w:tcPr>
          <w:p>
            <w:pPr>
              <w:pStyle w:val="TableContents"/>
              <w:bidi w:val="0"/>
              <w:spacing w:before="0" w:after="0"/>
              <w:ind w:left="0" w:right="0" w:hanging="0"/>
              <w:jc w:val="left"/>
            </w:pPr>
            <w:r>
              <w:t> </w:t>
            </w:r>
          </w:p>
        </w:tc>
        <w:tc>
          <w:tcPr>
            <w:tcW w:w="129" w:type="dxa"/>
            <w:tcBorders>
              <w:bottom w:val="single" w:sz="2" w:space="0" w:color="000000"/>
            </w:tcBorders>
            <w:shd w:fill="CCEEFF" w:val="clear"/>
            <w:vAlign w:val="center"/>
          </w:tcPr>
          <w:p>
            <w:pPr>
              <w:pStyle w:val="TableContents"/>
              <w:bidi w:val="0"/>
              <w:spacing w:before="0" w:after="0"/>
              <w:ind w:left="0" w:right="0" w:hanging="0"/>
              <w:jc w:val="left"/>
            </w:pPr>
            <w:r>
              <w:t> </w:t>
            </w:r>
          </w:p>
        </w:tc>
        <w:tc>
          <w:tcPr>
            <w:tcW w:w="50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3" w:type="dxa"/>
            <w:tcBorders>
              <w:bottom w:val="single" w:sz="2" w:space="0" w:color="000000"/>
            </w:tcBorders>
            <w:shd w:fill="CCEEFF" w:val="clear"/>
            <w:vAlign w:val="center"/>
          </w:tcPr>
          <w:p>
            <w:pPr>
              <w:pStyle w:val="TableContents"/>
              <w:bidi w:val="0"/>
              <w:spacing w:before="0" w:after="0"/>
              <w:ind w:left="0" w:right="0" w:hanging="0"/>
              <w:jc w:val="left"/>
            </w:pPr>
            <w:r>
              <w:t> </w:t>
            </w:r>
          </w:p>
        </w:tc>
      </w:tr>
      <w:tr>
        <w:tc>
          <w:tcPr>
            <w:tcW w:w="21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September 30, 2025</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311"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1"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bottom w:val="double" w:sz="6"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18"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7"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1,863</w:t>
            </w:r>
          </w:p>
        </w:tc>
        <w:tc>
          <w:tcPr>
            <w:tcW w:w="80" w:type="dxa"/>
            <w:tcBorders>
              <w:bottom w:val="double" w:sz="6"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3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80" w:type="dxa"/>
            <w:tcBorders>
              <w:bottom w:val="double" w:sz="6"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3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7"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298"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21"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w:t>
            </w:r>
          </w:p>
        </w:tc>
        <w:tc>
          <w:tcPr>
            <w:tcW w:w="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396"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80" w:type="dxa"/>
            <w:tcBorders>
              <w:bottom w:val="double" w:sz="6" w:space="0" w:color="000000"/>
            </w:tcBorders>
            <w:shd w:fill="FFFFFF" w:val="clear"/>
            <w:vAlign w:val="center"/>
          </w:tcPr>
          <w:p>
            <w:pPr>
              <w:pStyle w:val="TableContents"/>
              <w:bidi w:val="0"/>
              <w:spacing w:before="0" w:after="0"/>
              <w:ind w:left="0" w:right="0" w:hanging="0"/>
              <w:jc w:val="left"/>
            </w:pPr>
            <w:r>
              <w:t> </w:t>
            </w:r>
          </w:p>
        </w:tc>
        <w:tc>
          <w:tcPr>
            <w:tcW w:w="60" w:type="dxa"/>
            <w:tcBorders/>
            <w:shd w:fill="FFFFFF" w:val="clear"/>
            <w:tcMar>
              <w:bottom w:w="0" w:type="dxa"/>
            </w:tcMar>
            <w:vAlign w:val="center"/>
          </w:tcPr>
          <w:p>
            <w:pPr>
              <w:pStyle w:val="TableContents"/>
              <w:bidi w:val="0"/>
              <w:spacing w:before="0" w:after="0"/>
              <w:ind w:left="0" w:right="0" w:hanging="0"/>
              <w:jc w:val="left"/>
            </w:pPr>
            <w:r>
              <w:t> </w:t>
            </w:r>
          </w:p>
        </w:tc>
        <w:tc>
          <w:tcPr>
            <w:tcW w:w="129"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01"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1,150</w:t>
            </w:r>
          </w:p>
        </w:tc>
        <w:tc>
          <w:tcPr>
            <w:tcW w:w="103" w:type="dxa"/>
            <w:tcBorders>
              <w:bottom w:val="double" w:sz="6" w:space="0" w:color="000000"/>
            </w:tcBorders>
            <w:shd w:fill="FFFFFF" w:val="clear"/>
            <w:vAlign w:val="center"/>
          </w:tcPr>
          <w:p>
            <w:pPr>
              <w:pStyle w:val="TableContents"/>
              <w:bidi w:val="0"/>
              <w:spacing w:before="0" w:after="0"/>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each component of accumulated other comprehensive loss (AOCI) of the parent</w:t>
      </w:r>
      <w:r>
        <w:rPr>
          <w:rFonts w:ascii="Times New Roman;Times;serif" w:hAnsi="Times New Roman;Times;serif"/>
          <w:sz w:val="20"/>
        </w:rPr>
        <w:t xml:space="preserve">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957"/>
        <w:gridCol w:w="60"/>
        <w:gridCol w:w="393"/>
        <w:gridCol w:w="1246"/>
        <w:gridCol w:w="80"/>
        <w:gridCol w:w="60"/>
        <w:gridCol w:w="218"/>
        <w:gridCol w:w="507"/>
        <w:gridCol w:w="80"/>
        <w:gridCol w:w="60"/>
        <w:gridCol w:w="277"/>
        <w:gridCol w:w="883"/>
        <w:gridCol w:w="80"/>
        <w:gridCol w:w="60"/>
        <w:gridCol w:w="401"/>
        <w:gridCol w:w="1759"/>
        <w:gridCol w:w="84"/>
      </w:tblGrid>
      <w:tr>
        <w:tc>
          <w:tcPr>
            <w:tcW w:w="39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Parent Company Stockholders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Foreign Currency Translation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Hedging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Defined Benefit Plans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Accumulated Other Comprehensive Loss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283"/>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ind w:left="0" w:right="0" w:hanging="0"/>
              <w:jc w:val="left"/>
            </w:pPr>
            <w:r>
              <w:t> </w:t>
            </w:r>
          </w:p>
        </w:tc>
        <w:tc>
          <w:tcPr>
            <w:tcW w:w="12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ind w:left="0" w:right="0" w:hanging="0"/>
              <w:jc w:val="left"/>
            </w:pPr>
            <w: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4" w:type="dxa"/>
            <w:tcBorders/>
            <w:shd w:fill="FFFFFF" w:val="cle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 realized in Off-Highway business divestiture</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177</w:t>
            </w:r>
          </w:p>
        </w:tc>
        <w:tc>
          <w:tcPr>
            <w:tcW w:w="84" w:type="dxa"/>
            <w:tcBorders/>
            <w:shd w:fill="CCEEFF" w:val="clear"/>
            <w:vAlign w:val="center"/>
          </w:tcPr>
          <w:p>
            <w:pPr>
              <w:pStyle w:val="TableContents"/>
              <w:bidi w:val="0"/>
              <w:spacing w:before="0" w:after="283"/>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Holding gains and losses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4" w:type="dxa"/>
            <w:tcBorders/>
            <w:shd w:fill="FFFFFF" w:val="cle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amount to net income (a)</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Reclassification adjustment for net actuarial losses included in net periodic benefit cost (b)</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benefit</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395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pPr>
            <w:r>
              <w:t> </w:t>
            </w:r>
          </w:p>
        </w:tc>
        <w:tc>
          <w:tcPr>
            <w:tcW w:w="3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4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2026</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(856</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w:t>
            </w:r>
          </w:p>
        </w:tc>
        <w:tc>
          <w:tcPr>
            <w:tcW w:w="84" w:type="dxa"/>
            <w:tcBorders/>
            <w:shd w:fill="FFFFFF" w:val="cle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Holding gains and losses</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w:t>
            </w:r>
          </w:p>
        </w:tc>
        <w:tc>
          <w:tcPr>
            <w:tcW w:w="84" w:type="dxa"/>
            <w:tcBorders/>
            <w:shd w:fill="CCEEFF" w:val="clear"/>
            <w:vAlign w:val="center"/>
          </w:tcPr>
          <w:p>
            <w:pPr>
              <w:pStyle w:val="TableContents"/>
              <w:bidi w:val="0"/>
              <w:spacing w:before="0" w:after="283"/>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amount to net income (a)</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benefit</w:t>
            </w:r>
          </w:p>
        </w:tc>
        <w:tc>
          <w:tcPr>
            <w:tcW w:w="60" w:type="dxa"/>
            <w:tcBorders/>
            <w:shd w:fill="CCEEFF" w:val="clear"/>
            <w:vAlign w:val="center"/>
          </w:tcPr>
          <w:p>
            <w:pPr>
              <w:pStyle w:val="TableContents"/>
              <w:bidi w:val="0"/>
              <w:spacing w:before="0" w:after="283"/>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84"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CCEEFF" w:val="clear"/>
            <w:vAlign w:val="center"/>
          </w:tcPr>
          <w:p>
            <w:pPr>
              <w:pStyle w:val="TableContents"/>
              <w:bidi w:val="0"/>
              <w:spacing w:before="0" w:after="283"/>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Holding gains and losses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Reclassification of amount to net income (a)</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benefit</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September 30, 2026</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(847</w:t>
            </w:r>
          </w:p>
        </w:tc>
        <w:tc>
          <w:tcPr>
            <w:tcW w:w="84"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3957"/>
        <w:gridCol w:w="60"/>
        <w:gridCol w:w="393"/>
        <w:gridCol w:w="1246"/>
        <w:gridCol w:w="80"/>
        <w:gridCol w:w="60"/>
        <w:gridCol w:w="218"/>
        <w:gridCol w:w="507"/>
        <w:gridCol w:w="80"/>
        <w:gridCol w:w="60"/>
        <w:gridCol w:w="277"/>
        <w:gridCol w:w="883"/>
        <w:gridCol w:w="80"/>
        <w:gridCol w:w="60"/>
        <w:gridCol w:w="401"/>
        <w:gridCol w:w="1759"/>
        <w:gridCol w:w="84"/>
      </w:tblGrid>
      <w:tr>
        <w:tc>
          <w:tcPr>
            <w:tcW w:w="395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4"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Parent Company Stockholders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Foreign Currency Translation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Hedging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Defined Benefit Plans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Accumulated Other Comprehensive Loss</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December 31, 2024</w:t>
            </w:r>
          </w:p>
        </w:tc>
        <w:tc>
          <w:tcPr>
            <w:tcW w:w="60" w:type="dxa"/>
            <w:tcBorders/>
            <w:shd w:fill="CCEEFF" w:val="clear"/>
            <w:vAlign w:val="center"/>
          </w:tcPr>
          <w:p>
            <w:pPr>
              <w:pStyle w:val="TableContents"/>
              <w:bidi w:val="0"/>
              <w:spacing w:before="0" w:after="283"/>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(1,142</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ind w:left="0" w:right="0" w:hanging="0"/>
              <w:jc w:val="left"/>
            </w:pPr>
            <w:r>
              <w:t> </w:t>
            </w:r>
          </w:p>
        </w:tc>
        <w:tc>
          <w:tcPr>
            <w:tcW w:w="12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ind w:left="0" w:right="0" w:hanging="0"/>
              <w:jc w:val="left"/>
            </w:pPr>
            <w: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4" w:type="dxa"/>
            <w:tcBorders/>
            <w:shd w:fill="FFFFFF" w:val="cle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Holding gains and losses</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ind w:left="0" w:right="0" w:hanging="0"/>
              <w:jc w:val="left"/>
            </w:pPr>
            <w:r>
              <w:t> </w:t>
            </w:r>
          </w:p>
        </w:tc>
        <w:tc>
          <w:tcPr>
            <w:tcW w:w="5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ind w:left="0" w:right="0" w:hanging="0"/>
              <w:jc w:val="left"/>
            </w:pPr>
            <w:r>
              <w:t> </w:t>
            </w:r>
          </w:p>
        </w:tc>
        <w:tc>
          <w:tcPr>
            <w:tcW w:w="1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of amount to net income (a)</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ind w:left="0" w:right="0" w:hanging="0"/>
              <w:jc w:val="left"/>
            </w:pPr>
            <w:r>
              <w:t> </w:t>
            </w:r>
          </w:p>
        </w:tc>
        <w:tc>
          <w:tcPr>
            <w:tcW w:w="5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ind w:left="0" w:right="0" w:hanging="0"/>
              <w:jc w:val="left"/>
            </w:pPr>
            <w:r>
              <w:t> </w:t>
            </w:r>
          </w:p>
        </w:tc>
        <w:tc>
          <w:tcPr>
            <w:tcW w:w="1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4" w:type="dxa"/>
            <w:tcBorders/>
            <w:shd w:fill="FFFFFF" w:val="clear"/>
            <w:vAlign w:val="center"/>
          </w:tcPr>
          <w:p>
            <w:pPr>
              <w:pStyle w:val="TableContents"/>
              <w:bidi w:val="0"/>
              <w:spacing w:before="0" w:after="283"/>
              <w:ind w:left="0" w:right="0" w:hanging="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March 31, 2025</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(1,110</w:t>
            </w:r>
          </w:p>
        </w:tc>
        <w:tc>
          <w:tcPr>
            <w:tcW w:w="84"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c>
          <w:tcPr>
            <w:tcW w:w="84" w:type="dxa"/>
            <w:tcBorders/>
            <w:shd w:fill="FFFFFF" w:val="cle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of amount to net income (a)</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w:t>
            </w:r>
          </w:p>
        </w:tc>
        <w:tc>
          <w:tcPr>
            <w:tcW w:w="84" w:type="dxa"/>
            <w:tcBorders/>
            <w:shd w:fill="CCEEFF" w:val="clear"/>
            <w:vAlign w:val="center"/>
          </w:tcPr>
          <w:p>
            <w:pPr>
              <w:pStyle w:val="TableContents"/>
              <w:bidi w:val="0"/>
              <w:spacing w:before="0" w:after="283"/>
              <w:ind w:left="0" w:right="0" w:hanging="0"/>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adjustment for net actuarial losses included in net periodic benefit cost (b)</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shd w:fill="FFFFFF" w:val="clear"/>
            <w:vAlign w:val="center"/>
          </w:tcPr>
          <w:p>
            <w:pPr>
              <w:pStyle w:val="TableContents"/>
              <w:bidi w:val="0"/>
              <w:spacing w:before="0" w:after="0"/>
              <w:ind w:left="0" w:right="0" w:hanging="0"/>
              <w:jc w:val="left"/>
            </w:pPr>
            <w:r>
              <w:t> </w:t>
            </w:r>
          </w:p>
        </w:tc>
        <w:tc>
          <w:tcPr>
            <w:tcW w:w="1246" w:type="dxa"/>
            <w:tcBorders/>
            <w:shd w:fill="FFFFFF" w:val="clear"/>
            <w:vAlign w:val="center"/>
          </w:tcPr>
          <w:p>
            <w:pPr>
              <w:pStyle w:val="TableContents"/>
              <w:bidi w:val="0"/>
              <w:spacing w:before="0" w:after="0"/>
              <w:ind w:left="0" w:right="0" w:hanging="0"/>
              <w:jc w:val="right"/>
            </w:pPr>
            <w:r>
              <w:rPr>
                <w:rStyle w:val="Emphasis"/>
              </w:rPr>
              <w:t> </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shd w:fill="FFFFFF" w:val="clear"/>
            <w:vAlign w:val="center"/>
          </w:tcPr>
          <w:p>
            <w:pPr>
              <w:pStyle w:val="TableContents"/>
              <w:bidi w:val="0"/>
              <w:spacing w:before="0" w:after="0"/>
              <w:ind w:left="0" w:right="0" w:hanging="0"/>
              <w:jc w:val="left"/>
            </w:pPr>
            <w:r>
              <w:t> </w:t>
            </w:r>
          </w:p>
        </w:tc>
        <w:tc>
          <w:tcPr>
            <w:tcW w:w="507" w:type="dxa"/>
            <w:tcBorders/>
            <w:shd w:fill="FFFFFF" w:val="clear"/>
            <w:vAlign w:val="center"/>
          </w:tcPr>
          <w:p>
            <w:pPr>
              <w:pStyle w:val="TableContents"/>
              <w:bidi w:val="0"/>
              <w:spacing w:before="0" w:after="0"/>
              <w:ind w:left="0" w:right="0" w:hanging="0"/>
              <w:jc w:val="right"/>
            </w:pPr>
            <w:r>
              <w:rPr>
                <w:rStyle w:val="Emphasis"/>
              </w:rPr>
              <w:t> </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shd w:fill="FFFFFF" w:val="clear"/>
            <w:vAlign w:val="center"/>
          </w:tcPr>
          <w:p>
            <w:pPr>
              <w:pStyle w:val="TableContents"/>
              <w:bidi w:val="0"/>
              <w:spacing w:before="0" w:after="0"/>
              <w:ind w:left="0" w:right="0" w:hanging="0"/>
              <w:jc w:val="left"/>
            </w:pPr>
            <w:r>
              <w:t> </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shd w:fill="FFFFFF" w:val="clear"/>
            <w:vAlign w:val="center"/>
          </w:tcPr>
          <w:p>
            <w:pPr>
              <w:pStyle w:val="TableContents"/>
              <w:bidi w:val="0"/>
              <w:spacing w:before="0" w:after="0"/>
              <w:ind w:left="0" w:right="0" w:hanging="0"/>
              <w:jc w:val="left"/>
            </w:pPr>
            <w:r>
              <w:t> </w:t>
            </w:r>
          </w:p>
        </w:tc>
        <w:tc>
          <w:tcPr>
            <w:tcW w:w="17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4" w:type="dxa"/>
            <w:tcBorders/>
            <w:shd w:fill="FFFFFF" w:val="clear"/>
            <w:vAlign w:val="center"/>
          </w:tcPr>
          <w:p>
            <w:pPr>
              <w:pStyle w:val="TableContents"/>
              <w:bidi w:val="0"/>
              <w:spacing w:before="0" w:after="0"/>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w:t>
            </w:r>
          </w:p>
        </w:tc>
        <w:tc>
          <w:tcPr>
            <w:tcW w:w="60" w:type="dxa"/>
            <w:tcBorders/>
            <w:shd w:fill="FFFFFF" w:val="clear"/>
            <w:vAlign w:val="center"/>
          </w:tcPr>
          <w:p>
            <w:pPr>
              <w:pStyle w:val="TableContents"/>
              <w:bidi w:val="0"/>
              <w:spacing w:before="0" w:after="283"/>
              <w:jc w:val="left"/>
            </w:pPr>
            <w:r>
              <w:t> </w:t>
            </w:r>
          </w:p>
        </w:tc>
        <w:tc>
          <w:tcPr>
            <w:tcW w:w="39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124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50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8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pPr>
            <w:r>
              <w:t>—</w:t>
            </w:r>
          </w:p>
        </w:tc>
        <w:tc>
          <w:tcPr>
            <w:tcW w:w="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175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60" w:type="dxa"/>
            <w:tcBorders/>
            <w:shd w:fill="CCEEFF" w:val="clear"/>
            <w:vAlign w:val="center"/>
          </w:tcPr>
          <w:p>
            <w:pPr>
              <w:pStyle w:val="TableContents"/>
              <w:bidi w:val="0"/>
              <w:spacing w:before="0" w:after="283"/>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 adjustments</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Holding gains and losses</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4" w:type="dxa"/>
            <w:tcBorders/>
            <w:shd w:fill="CCEEFF" w:val="clear"/>
            <w:vAlign w:val="center"/>
          </w:tcPr>
          <w:p>
            <w:pPr>
              <w:pStyle w:val="TableContents"/>
              <w:bidi w:val="0"/>
              <w:spacing w:before="0" w:after="283"/>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of amount to net income (a)</w:t>
            </w:r>
          </w:p>
        </w:tc>
        <w:tc>
          <w:tcPr>
            <w:tcW w:w="60" w:type="dxa"/>
            <w:tcBorders/>
            <w:shd w:fill="FFFFFF" w:val="clear"/>
            <w:vAlign w:val="center"/>
          </w:tcPr>
          <w:p>
            <w:pPr>
              <w:pStyle w:val="TableContents"/>
              <w:bidi w:val="0"/>
              <w:spacing w:before="0" w:after="283"/>
              <w:jc w:val="left"/>
            </w:pPr>
            <w:r>
              <w:t> </w:t>
            </w:r>
          </w:p>
        </w:tc>
        <w:tc>
          <w:tcPr>
            <w:tcW w:w="393" w:type="dxa"/>
            <w:tcBorders/>
            <w:shd w:fill="FFFFFF" w:val="clear"/>
            <w:vAlign w:val="center"/>
          </w:tcPr>
          <w:p>
            <w:pPr>
              <w:pStyle w:val="TableContents"/>
              <w:bidi w:val="0"/>
              <w:spacing w:before="0" w:after="283"/>
              <w:jc w:val="left"/>
            </w:pPr>
            <w:r>
              <w:t> </w:t>
            </w:r>
          </w:p>
        </w:tc>
        <w:tc>
          <w:tcPr>
            <w:tcW w:w="124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shd w:fill="FFFFFF" w:val="clear"/>
            <w:vAlign w:val="center"/>
          </w:tcPr>
          <w:p>
            <w:pPr>
              <w:pStyle w:val="TableContents"/>
              <w:bidi w:val="0"/>
              <w:spacing w:before="0" w:after="283"/>
              <w:jc w:val="left"/>
            </w:pPr>
            <w:r>
              <w:t> </w:t>
            </w:r>
          </w:p>
        </w:tc>
        <w:tc>
          <w:tcPr>
            <w:tcW w:w="50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jc w:val="left"/>
            </w:pPr>
            <w:r>
              <w:t> </w:t>
            </w:r>
          </w:p>
        </w:tc>
        <w:tc>
          <w:tcPr>
            <w:tcW w:w="883"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01" w:type="dxa"/>
            <w:tcBorders/>
            <w:shd w:fill="FFFFFF" w:val="clear"/>
            <w:vAlign w:val="center"/>
          </w:tcPr>
          <w:p>
            <w:pPr>
              <w:pStyle w:val="TableContents"/>
              <w:bidi w:val="0"/>
              <w:spacing w:before="0" w:after="283"/>
              <w:jc w:val="left"/>
            </w:pPr>
            <w:r>
              <w:t> </w:t>
            </w:r>
          </w:p>
        </w:tc>
        <w:tc>
          <w:tcPr>
            <w:tcW w:w="175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Reclassification adjustment for net actuarial losses included in net periodic benefit cost (b)</w:t>
            </w:r>
          </w:p>
        </w:tc>
        <w:tc>
          <w:tcPr>
            <w:tcW w:w="60" w:type="dxa"/>
            <w:tcBorders/>
            <w:shd w:fill="CCEEFF" w:val="clear"/>
            <w:vAlign w:val="center"/>
          </w:tcPr>
          <w:p>
            <w:pPr>
              <w:pStyle w:val="TableContents"/>
              <w:bidi w:val="0"/>
              <w:spacing w:before="0" w:after="283"/>
              <w:jc w:val="left"/>
            </w:pPr>
            <w:r>
              <w:t> </w:t>
            </w:r>
          </w:p>
        </w:tc>
        <w:tc>
          <w:tcPr>
            <w:tcW w:w="393" w:type="dxa"/>
            <w:tcBorders/>
            <w:shd w:fill="CCEEFF" w:val="clear"/>
            <w:vAlign w:val="center"/>
          </w:tcPr>
          <w:p>
            <w:pPr>
              <w:pStyle w:val="TableContents"/>
              <w:bidi w:val="0"/>
              <w:spacing w:before="0" w:after="283"/>
              <w:jc w:val="left"/>
            </w:pPr>
            <w:r>
              <w:t> </w:t>
            </w:r>
          </w:p>
        </w:tc>
        <w:tc>
          <w:tcPr>
            <w:tcW w:w="124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8" w:type="dxa"/>
            <w:tcBorders/>
            <w:shd w:fill="CCEEFF" w:val="clear"/>
            <w:vAlign w:val="center"/>
          </w:tcPr>
          <w:p>
            <w:pPr>
              <w:pStyle w:val="TableContents"/>
              <w:bidi w:val="0"/>
              <w:spacing w:before="0" w:after="283"/>
              <w:jc w:val="left"/>
            </w:pPr>
            <w:r>
              <w:t> </w:t>
            </w:r>
          </w:p>
        </w:tc>
        <w:tc>
          <w:tcPr>
            <w:tcW w:w="507"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7" w:type="dxa"/>
            <w:tcBorders/>
            <w:shd w:fill="CCEEFF" w:val="clear"/>
            <w:vAlign w:val="center"/>
          </w:tcPr>
          <w:p>
            <w:pPr>
              <w:pStyle w:val="TableContents"/>
              <w:bidi w:val="0"/>
              <w:spacing w:before="0" w:after="283"/>
              <w:jc w:val="left"/>
            </w:pPr>
            <w:r>
              <w:t> </w:t>
            </w:r>
          </w:p>
        </w:tc>
        <w:tc>
          <w:tcPr>
            <w:tcW w:w="8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01" w:type="dxa"/>
            <w:tcBorders/>
            <w:shd w:fill="CCEEFF" w:val="clear"/>
            <w:vAlign w:val="center"/>
          </w:tcPr>
          <w:p>
            <w:pPr>
              <w:pStyle w:val="TableContents"/>
              <w:bidi w:val="0"/>
              <w:spacing w:before="0" w:after="283"/>
              <w:jc w:val="left"/>
            </w:pPr>
            <w:r>
              <w:t> </w:t>
            </w:r>
          </w:p>
        </w:tc>
        <w:tc>
          <w:tcPr>
            <w:tcW w:w="175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4" w:type="dxa"/>
            <w:tcBorders/>
            <w:shd w:fill="CCEEFF" w:val="clear"/>
            <w:vAlign w:val="center"/>
          </w:tcPr>
          <w:p>
            <w:pPr>
              <w:pStyle w:val="TableContents"/>
              <w:bidi w:val="0"/>
              <w:spacing w:before="0" w:after="283"/>
              <w:ind w:left="0" w:right="0" w:hanging="0"/>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 expense</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c>
          <w:tcPr>
            <w:tcW w:w="39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CCEEFF" w:val="clear"/>
            <w:vAlign w:val="center"/>
          </w:tcPr>
          <w:p>
            <w:pPr>
              <w:pStyle w:val="TableContents"/>
              <w:bidi w:val="0"/>
              <w:spacing w:before="0" w:after="0"/>
              <w:ind w:left="0" w:right="0" w:hanging="0"/>
              <w:jc w:val="left"/>
            </w:pPr>
            <w:r>
              <w:t> </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pPr>
            <w: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r>
      <w:tr>
        <w:tc>
          <w:tcPr>
            <w:tcW w:w="395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September 30, 2025</w:t>
            </w:r>
          </w:p>
        </w:tc>
        <w:tc>
          <w:tcPr>
            <w:tcW w:w="60" w:type="dxa"/>
            <w:tcBorders/>
            <w:shd w:fill="FFFFFF" w:val="clear"/>
            <w:vAlign w:val="center"/>
          </w:tcPr>
          <w:p>
            <w:pPr>
              <w:pStyle w:val="TableContents"/>
              <w:bidi w:val="0"/>
              <w:spacing w:before="0" w:after="0"/>
              <w:ind w:left="0" w:right="0" w:hanging="0"/>
              <w:jc w:val="left"/>
            </w:pPr>
            <w:r>
              <w:t> </w:t>
            </w:r>
          </w:p>
        </w:tc>
        <w:tc>
          <w:tcPr>
            <w:tcW w:w="3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(931</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40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w:t>
            </w:r>
          </w:p>
        </w:tc>
        <w:tc>
          <w:tcPr>
            <w:tcW w:w="84"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180" w:right="0" w:hanging="180"/>
        <w:jc w:val="left"/>
      </w:pPr>
      <w:r>
        <w:rPr>
          <w:rFonts w:ascii="Times New Roman" w:hAnsi="Times New Roman"/>
          <w:sz w:val="18"/>
        </w:rPr>
        <w:t xml:space="preserve">(a) Realized gains and losses from currency-related forward contracts associated with forecasted transactions or from other derivative instruments treated as cash flow hedges are reclassified from AOCI into the same line item in the consolidated statement of operations in which the underlying forecasted transaction or other hedged item is recorded. See Note </w:t>
      </w:r>
      <w:r>
        <w:rPr>
          <w:rStyle w:val="Emphasis"/>
          <w:rFonts w:ascii="Times New Roman" w:hAnsi="Times New Roman"/>
          <w:sz w:val="18"/>
        </w:rPr>
        <w:t>11</w:t>
      </w:r>
      <w:r>
        <w:rPr>
          <w:rFonts w:ascii="Times New Roman" w:hAnsi="Times New Roman"/>
          <w:sz w:val="18"/>
        </w:rPr>
        <w:t> for additional details.</w:t>
      </w:r>
    </w:p>
    <w:p>
      <w:pPr>
        <w:pStyle w:val="TextBody"/>
        <w:bidi w:val="0"/>
        <w:spacing w:before="0" w:after="0"/>
        <w:ind w:left="180" w:right="0" w:hanging="180"/>
        <w:jc w:val="left"/>
      </w:pPr>
      <w:r>
        <w:t> </w:t>
      </w:r>
    </w:p>
    <w:p>
      <w:pPr>
        <w:pStyle w:val="TextBody"/>
        <w:bidi w:val="0"/>
        <w:spacing w:before="0" w:after="0"/>
        <w:ind w:left="180" w:right="0" w:hanging="180"/>
        <w:jc w:val="left"/>
      </w:pPr>
      <w:r>
        <w:rPr>
          <w:rFonts w:ascii="Times New Roman" w:hAnsi="Times New Roman"/>
          <w:sz w:val="18"/>
        </w:rPr>
        <w:t xml:space="preserve">(b) See Note </w:t>
      </w:r>
      <w:r>
        <w:rPr>
          <w:rStyle w:val="Emphasis"/>
          <w:rFonts w:ascii="Times New Roman" w:hAnsi="Times New Roman"/>
          <w:sz w:val="18"/>
        </w:rPr>
        <w:t>9</w:t>
      </w:r>
      <w:r>
        <w:rPr>
          <w:rFonts w:ascii="Times New Roman" w:hAnsi="Times New Roman"/>
          <w:sz w:val="18"/>
        </w:rPr>
        <w:t xml:space="preserve"> for additional details.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4" w:name="fn8"/>
      <w:bookmarkEnd w:id="14"/>
      <w:r>
        <w:rPr>
          <w:rFonts w:ascii="Times New Roman;Times;serif" w:hAnsi="Times New Roman;Times;serif"/>
          <w:b/>
          <w:sz w:val="20"/>
        </w:rPr>
        <w:t xml:space="preserve">Note </w:t>
      </w:r>
      <w:r>
        <w:rPr>
          <w:rStyle w:val="Emphasis"/>
          <w:rFonts w:ascii="Times New Roman;Times;serif" w:hAnsi="Times New Roman;Times;serif"/>
          <w:b/>
          <w:sz w:val="20"/>
        </w:rPr>
        <w:t>7.</w:t>
      </w:r>
      <w:r>
        <w:rPr>
          <w:rFonts w:ascii="Times New Roman;Times;serif" w:hAnsi="Times New Roman;Times;serif"/>
          <w:b/>
          <w:sz w:val="20"/>
        </w:rPr>
        <w:t xml:space="preserve"> Earnings per Share</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the numerators and denominators of the earnings per share calculations</w:t>
      </w:r>
      <w:r>
        <w:rPr>
          <w:rFonts w:ascii="Times New Roman;Times;serif" w:hAnsi="Times New Roman;Times;serif"/>
          <w:sz w:val="20"/>
        </w:rPr>
        <w:t xml:space="preserve"> — </w:t>
      </w:r>
    </w:p>
    <w:p>
      <w:pPr>
        <w:pStyle w:val="TextBody"/>
        <w:bidi w:val="0"/>
        <w:spacing w:before="0" w:after="0"/>
        <w:ind w:left="0" w:right="0" w:hanging="0"/>
        <w:jc w:val="left"/>
      </w:pPr>
      <w:r>
        <w:t> </w:t>
      </w:r>
    </w:p>
    <w:tbl>
      <w:tblPr>
        <w:tblW w:w="10152" w:type="dxa"/>
        <w:jc w:val="left"/>
        <w:tblInd w:w="0" w:type="dxa"/>
        <w:tblLayout w:type="fixed"/>
        <w:tblCellMar>
          <w:top w:w="0" w:type="dxa"/>
          <w:left w:w="0" w:type="dxa"/>
          <w:bottom w:w="0" w:type="dxa"/>
          <w:right w:w="0" w:type="dxa"/>
        </w:tblCellMar>
      </w:tblPr>
      <w:tblGrid>
        <w:gridCol w:w="6545"/>
        <w:gridCol w:w="60"/>
        <w:gridCol w:w="157"/>
        <w:gridCol w:w="611"/>
        <w:gridCol w:w="100"/>
        <w:gridCol w:w="75"/>
        <w:gridCol w:w="157"/>
        <w:gridCol w:w="611"/>
        <w:gridCol w:w="60"/>
        <w:gridCol w:w="60"/>
        <w:gridCol w:w="150"/>
        <w:gridCol w:w="584"/>
        <w:gridCol w:w="96"/>
        <w:gridCol w:w="72"/>
        <w:gridCol w:w="150"/>
        <w:gridCol w:w="584"/>
        <w:gridCol w:w="80"/>
      </w:tblGrid>
      <w:tr>
        <w:tc>
          <w:tcPr>
            <w:tcW w:w="65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76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73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 attributable to the parent company</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ind w:left="0" w:right="0" w:hanging="0"/>
              <w:jc w:val="left"/>
            </w:pPr>
            <w: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w:t>
            </w:r>
          </w:p>
        </w:tc>
        <w:tc>
          <w:tcPr>
            <w:tcW w:w="60"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jc w:val="left"/>
            </w:pPr>
            <w:r>
              <w:t> </w:t>
            </w:r>
          </w:p>
        </w:tc>
        <w:tc>
          <w:tcPr>
            <w:tcW w:w="6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58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ind w:left="0" w:right="0" w:hanging="0"/>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shd w:fill="CCEEFF" w:val="clear"/>
            <w:vAlign w:val="center"/>
          </w:tcPr>
          <w:p>
            <w:pPr>
              <w:pStyle w:val="TableContents"/>
              <w:bidi w:val="0"/>
              <w:spacing w:before="0" w:after="283"/>
              <w:jc w:val="left"/>
            </w:pPr>
            <w:r>
              <w:t> </w:t>
            </w:r>
          </w:p>
        </w:tc>
        <w:tc>
          <w:tcPr>
            <w:tcW w:w="61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96"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58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0" w:right="0" w:hanging="0"/>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 Basic</w:t>
            </w:r>
          </w:p>
        </w:tc>
        <w:tc>
          <w:tcPr>
            <w:tcW w:w="60"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0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shd w:fill="FFFFFF" w:val="clear"/>
            <w:vAlign w:val="center"/>
          </w:tcPr>
          <w:p>
            <w:pPr>
              <w:pStyle w:val="TableContents"/>
              <w:bidi w:val="0"/>
              <w:spacing w:before="0" w:after="283"/>
              <w:ind w:left="0" w:right="0" w:hanging="0"/>
              <w:jc w:val="left"/>
            </w:pPr>
            <w: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96"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shd w:fill="FFFFFF" w:val="clear"/>
            <w:vAlign w:val="center"/>
          </w:tcPr>
          <w:p>
            <w:pPr>
              <w:pStyle w:val="TableContents"/>
              <w:bidi w:val="0"/>
              <w:spacing w:before="0" w:after="283"/>
              <w:ind w:left="0" w:right="0" w:hanging="0"/>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compensation-related shares</w:t>
            </w:r>
          </w:p>
        </w:tc>
        <w:tc>
          <w:tcPr>
            <w:tcW w:w="60"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 - Diluted</w:t>
            </w:r>
          </w:p>
        </w:tc>
        <w:tc>
          <w:tcPr>
            <w:tcW w:w="60" w:type="dxa"/>
            <w:tcBorders/>
            <w:shd w:fill="FFFFFF" w:val="clear"/>
            <w:vAlign w:val="center"/>
          </w:tcPr>
          <w:p>
            <w:pPr>
              <w:pStyle w:val="TableContents"/>
              <w:bidi w:val="0"/>
              <w:spacing w:before="0" w:after="283"/>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share count for diluted earnings per share is computed on the basis of the weighted-average number of common shares outstanding plus the effects of dilutive common stock equivalents (CSEs) outstanding during the period. We excluded 0.2 and 0.1 million CSEs from the calculation of diluted earnings per share for the </w:t>
      </w:r>
      <w:r>
        <w:rPr>
          <w:rStyle w:val="Emphasis"/>
          <w:rFonts w:ascii="Times New Roman;Times;serif" w:hAnsi="Times New Roman;Times;serif"/>
          <w:sz w:val="20"/>
        </w:rPr>
        <w:t>third</w:t>
      </w:r>
      <w:r>
        <w:rPr>
          <w:rFonts w:ascii="Times New Roman;Times;serif" w:hAnsi="Times New Roman;Times;serif"/>
          <w:sz w:val="20"/>
        </w:rPr>
        <w:t xml:space="preserve"> quarters of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and excluded 0.1 million of CSEs for both respective year-to-date periods as the effect of including them would have been anti-dilutive. In addition, we excluded CSEs that satisfied the definition of potentially dilutive shares of 1.5 million for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and excluded 1.4 and 1.9 million for the year-to-date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periods as a result of the loss from continuing operations for these periods.</w:t>
      </w:r>
    </w:p>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5" w:name="fn9"/>
      <w:bookmarkEnd w:id="15"/>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xml:space="preserve"> Stock Compensation</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The Compensation Committee of our Board of Directors approved the grant of RSUs, performance share units (PSUs) and Dana Transformation Awards shown in the table below during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w:t>
      </w:r>
    </w:p>
    <w:p>
      <w:pPr>
        <w:pStyle w:val="TextBody"/>
        <w:bidi w:val="0"/>
        <w:spacing w:before="0" w:after="0"/>
        <w:ind w:left="0" w:right="0" w:hanging="0"/>
        <w:jc w:val="left"/>
      </w:pPr>
      <w:r>
        <w:t> </w:t>
      </w:r>
    </w:p>
    <w:tbl>
      <w:tblPr>
        <w:tblW w:w="4633" w:type="dxa"/>
        <w:jc w:val="left"/>
        <w:tblInd w:w="0" w:type="dxa"/>
        <w:tblLayout w:type="fixed"/>
        <w:tblCellMar>
          <w:top w:w="0" w:type="dxa"/>
          <w:left w:w="0" w:type="dxa"/>
          <w:bottom w:w="0" w:type="dxa"/>
          <w:right w:w="0" w:type="dxa"/>
        </w:tblCellMar>
      </w:tblPr>
      <w:tblGrid>
        <w:gridCol w:w="2375"/>
        <w:gridCol w:w="60"/>
        <w:gridCol w:w="180"/>
        <w:gridCol w:w="829"/>
        <w:gridCol w:w="60"/>
        <w:gridCol w:w="60"/>
        <w:gridCol w:w="206"/>
        <w:gridCol w:w="803"/>
        <w:gridCol w:w="60"/>
      </w:tblGrid>
      <w:tr>
        <w:tc>
          <w:tcPr>
            <w:tcW w:w="23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Grant Date</w:t>
            </w:r>
          </w:p>
        </w:tc>
        <w:tc>
          <w:tcPr>
            <w:tcW w:w="60" w:type="dxa"/>
            <w:tcBorders/>
            <w:shd w:fill="FFFFFF" w:val="clear"/>
            <w:vAlign w:val="center"/>
          </w:tcPr>
          <w:p>
            <w:pPr>
              <w:pStyle w:val="TableContents"/>
              <w:bidi w:val="0"/>
              <w:spacing w:before="0" w:after="283"/>
              <w:jc w:val="left"/>
            </w:pPr>
            <w:r>
              <w:t> </w:t>
            </w:r>
          </w:p>
        </w:tc>
      </w:tr>
      <w:tr>
        <w:tc>
          <w:tcPr>
            <w:tcW w:w="237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(In millions)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w:t>
            </w:r>
          </w:p>
        </w:tc>
        <w:tc>
          <w:tcPr>
            <w:tcW w:w="60" w:type="dxa"/>
            <w:tcBorders/>
            <w:shd w:fill="CCEEFF" w:val="clear"/>
            <w:vAlign w:val="center"/>
          </w:tcPr>
          <w:p>
            <w:pPr>
              <w:pStyle w:val="TableContents"/>
              <w:bidi w:val="0"/>
              <w:spacing w:before="0" w:after="283"/>
              <w:jc w:val="left"/>
            </w:pPr>
            <w:r>
              <w:t> </w:t>
            </w:r>
          </w:p>
        </w:tc>
      </w:tr>
      <w:t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33.28</w:t>
            </w:r>
          </w:p>
        </w:tc>
        <w:tc>
          <w:tcPr>
            <w:tcW w:w="60" w:type="dxa"/>
            <w:tcBorders/>
            <w:shd w:fill="FFFFFF" w:val="clear"/>
            <w:vAlign w:val="center"/>
          </w:tcPr>
          <w:p>
            <w:pPr>
              <w:pStyle w:val="TableContents"/>
              <w:bidi w:val="0"/>
              <w:spacing w:before="0" w:after="283"/>
              <w:jc w:val="left"/>
            </w:pPr>
            <w:r>
              <w:t> </w:t>
            </w:r>
          </w:p>
        </w:tc>
      </w:tr>
      <w:t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Dana Transformation Awards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49.15</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rFonts w:ascii="Times New Roman" w:hAnsi="Times New Roman"/>
          <w:sz w:val="18"/>
        </w:rPr>
      </w:pPr>
      <w:r>
        <w:rPr>
          <w:rFonts w:ascii="Times New Roman" w:hAnsi="Times New Roman"/>
          <w:sz w:val="18"/>
        </w:rPr>
        <w:t>* Weighted-average per share</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Compensation expense is generally measured based on the fair value at the date of grant and is recognized on a straight-line basis over the vesting period. Awards that are settled in cash are subject to liability accounting. Accordingly, the fair value of such awards is remeasured at the end of each reporting period until settled or expired. RSUs, PSUs and the Dana Transformation Awards accrue dividends, which are subject to the same vesting and forfeiture conditions as the original award. The fair value of RSUs is based on the closing market price of our common stock at the date of grant.</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sz w:val="20"/>
        </w:rPr>
        <w:t xml:space="preserve">The number of PSUs granted in </w:t>
      </w:r>
      <w:r>
        <w:rPr>
          <w:rStyle w:val="Emphasis"/>
          <w:rFonts w:ascii="Times New Roman;Times;serif" w:hAnsi="Times New Roman;Times;serif"/>
          <w:sz w:val="20"/>
        </w:rPr>
        <w:t>2026</w:t>
      </w:r>
      <w:r>
        <w:rPr>
          <w:rFonts w:ascii="Times New Roman;Times;serif" w:hAnsi="Times New Roman;Times;serif"/>
          <w:sz w:val="20"/>
        </w:rPr>
        <w:t xml:space="preserve"> that ultimately vest is contingent upon achieving predetermined financial performance targets. The payout is further subject to a relative total shareholder return (TSR) modifier which is based on specified total shareholder return targets relative to peer companies. We estimated the grant date fair value of the PSUs using various assumptions as part of a Monte Carlo simulation. The risk-free interest rate of 3.56% was based on U.S. Treasury rate as of the grant date. The estimated volatility of 44.0% was based on the historical volatility of daily stock returns for a 2.9-year period preceding the grant date. </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 w:hAnsi="Times New Roman"/>
          <w:caps w:val="false"/>
          <w:smallCaps w:val="false"/>
          <w:sz w:val="20"/>
        </w:rPr>
        <w:t xml:space="preserve">The Company also granted a special award tied to stock price performance (the Dana Transformation Awards). The payout is contingent upon the achievement of specified average stock price performance goals, measured over any 20 consecutive trading-days throughout a 4-year performance period. We estimated the grant date fair value of the Dana Transformation Awards using various assumptions as part of a Monte Carlo simulation. The risk-free interest rates of 3.64% and 3.66% were based on U.S. Treasury rates as of the </w:t>
      </w:r>
      <w:r>
        <w:rPr>
          <w:rStyle w:val="Emphasis"/>
          <w:rFonts w:ascii="Times New Roman" w:hAnsi="Times New Roman"/>
          <w:caps w:val="false"/>
          <w:smallCaps w:val="false"/>
          <w:sz w:val="20"/>
        </w:rPr>
        <w:t xml:space="preserve">January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grant dates. The estimated volatility of 48.29% and 47.11% were based on the historical volatility of daily stock returns for a 4-year period preceding each respective grant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we paid $1.1 and $1.8 of cash to settle RSUs and PSUs and issued 0.8 and 0.8 million shares of common stock based on the vesting of RSUs and PSUs, respectively. We recognized stock compensation expense of $9 and $8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quarters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expense of $28 and $31 during the respective year-to-date periods. At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total unrecognized compensation cost related to the nonvested awards granted and expected to vest was $58. This cost is expected to be recognized over a weighted-average period of 2.9 years. The breakout of the unrecognized compensation cost for the RSUs, PSUs, and Dana Transformation Awards is $18, $4, and $36, respectively. The weighted-average period in years for the RSUs, PSUs, and Dana Transformation Awards is 1.7, 1.0, and 3.8 years, respectively.</w:t>
      </w:r>
    </w:p>
    <w:p>
      <w:pPr>
        <w:pStyle w:val="TextBody"/>
        <w:bidi w:val="0"/>
        <w:spacing w:before="0" w:after="283"/>
        <w:jc w:val="left"/>
      </w:pPr>
      <w:r>
        <w:t xml:space="preserve">  </w:t>
      </w:r>
    </w:p>
    <w:p>
      <w:pPr>
        <w:pStyle w:val="TextBody"/>
        <w:bidi w:val="0"/>
        <w:spacing w:before="0" w:after="0"/>
        <w:ind w:left="0" w:right="0" w:hanging="0"/>
        <w:jc w:val="left"/>
      </w:pPr>
      <w:bookmarkStart w:id="16" w:name="fn10"/>
      <w:bookmarkEnd w:id="16"/>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xml:space="preserve"> Pension and Postretirement Benefit Plans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 number of defined contribution and defined benefit, qualified and nonqualified, pension plans covering eligible employees. Other postretirement benefits (OPEB), including medical and life insurance, are provided for certain employees upon retirement.</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net periodic benefit cost</w:t>
      </w:r>
      <w:r>
        <w:rPr>
          <w:rFonts w:ascii="Times New Roman;Times;serif" w:hAnsi="Times New Roman;Times;serif"/>
          <w:sz w:val="20"/>
        </w:rPr>
        <w:t> — </w:t>
      </w:r>
    </w:p>
    <w:p>
      <w:pPr>
        <w:pStyle w:val="TextBody"/>
        <w:bidi w:val="0"/>
        <w:spacing w:before="0" w:after="0"/>
        <w:ind w:left="0" w:right="0" w:hanging="0"/>
        <w:jc w:val="left"/>
      </w:pPr>
      <w:r>
        <w:t> </w:t>
      </w:r>
    </w:p>
    <w:tbl>
      <w:tblPr>
        <w:tblW w:w="7935" w:type="dxa"/>
        <w:jc w:val="left"/>
        <w:tblInd w:w="0" w:type="dxa"/>
        <w:tblLayout w:type="fixed"/>
        <w:tblCellMar>
          <w:top w:w="0" w:type="dxa"/>
          <w:left w:w="0" w:type="dxa"/>
          <w:bottom w:w="0" w:type="dxa"/>
          <w:right w:w="0" w:type="dxa"/>
        </w:tblCellMar>
      </w:tblPr>
      <w:tblGrid>
        <w:gridCol w:w="3245"/>
        <w:gridCol w:w="60"/>
        <w:gridCol w:w="125"/>
        <w:gridCol w:w="290"/>
        <w:gridCol w:w="80"/>
        <w:gridCol w:w="60"/>
        <w:gridCol w:w="304"/>
        <w:gridCol w:w="451"/>
        <w:gridCol w:w="80"/>
        <w:gridCol w:w="60"/>
        <w:gridCol w:w="125"/>
        <w:gridCol w:w="290"/>
        <w:gridCol w:w="80"/>
        <w:gridCol w:w="60"/>
        <w:gridCol w:w="304"/>
        <w:gridCol w:w="451"/>
        <w:gridCol w:w="80"/>
        <w:gridCol w:w="60"/>
        <w:gridCol w:w="243"/>
        <w:gridCol w:w="512"/>
        <w:gridCol w:w="80"/>
        <w:gridCol w:w="60"/>
        <w:gridCol w:w="243"/>
        <w:gridCol w:w="512"/>
        <w:gridCol w:w="80"/>
      </w:tblGrid>
      <w:tr>
        <w:tc>
          <w:tcPr>
            <w:tcW w:w="3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6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Pension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OPEB</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Three Months Ended September 30,</w:t>
            </w:r>
          </w:p>
        </w:tc>
        <w:tc>
          <w:tcPr>
            <w:tcW w:w="60" w:type="dxa"/>
            <w:tcBorders/>
            <w:shd w:fill="FFFFFF" w:val="clear"/>
            <w:vAlign w:val="center"/>
          </w:tcPr>
          <w:p>
            <w:pPr>
              <w:pStyle w:val="TableContents"/>
              <w:bidi w:val="0"/>
              <w:spacing w:before="0" w:after="283"/>
              <w:ind w:left="0" w:right="0" w:hanging="0"/>
              <w:jc w:val="left"/>
            </w:pPr>
            <w: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 w:hAnsi="Times New Roman"/>
                <w:caps w:val="false"/>
                <w:smallCaps w:val="false"/>
                <w:sz w:val="20"/>
              </w:rPr>
              <w:t>Non-U.S.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return on plan assets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 cost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net actuarial loss (gain)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periodic benefit cost (credit)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pPr>
            <w:r>
              <w:t>—</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pPr>
            <w:r>
              <w:t>—</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ind w:left="0" w:right="0" w:hanging="0"/>
              <w:jc w:val="left"/>
            </w:pPr>
            <w:r>
              <w:t> </w:t>
            </w:r>
          </w:p>
        </w:tc>
      </w:tr>
      <w:tr>
        <w:tc>
          <w:tcPr>
            <w:tcW w:w="3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Nine Months Ended September 30,</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cost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pPr>
            <w:r>
              <w:t> </w:t>
            </w:r>
          </w:p>
        </w:tc>
      </w:tr>
      <w:t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return on plan 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Service cost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90"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4" w:type="dxa"/>
            <w:tcBorders/>
            <w:shd w:fill="FFFFFF" w:val="clear"/>
            <w:vAlign w:val="center"/>
          </w:tcPr>
          <w:p>
            <w:pPr>
              <w:pStyle w:val="TableContents"/>
              <w:bidi w:val="0"/>
              <w:spacing w:before="0" w:after="283"/>
              <w:jc w:val="left"/>
            </w:pPr>
            <w:r>
              <w:t> </w:t>
            </w:r>
          </w:p>
        </w:tc>
        <w:tc>
          <w:tcPr>
            <w:tcW w:w="45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net actuarial loss (gain)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4" w:type="dxa"/>
            <w:tcBorders/>
            <w:shd w:fill="CCEEFF" w:val="clear"/>
            <w:vAlign w:val="center"/>
          </w:tcPr>
          <w:p>
            <w:pPr>
              <w:pStyle w:val="TableContents"/>
              <w:bidi w:val="0"/>
              <w:spacing w:before="0" w:after="283"/>
              <w:jc w:val="left"/>
            </w:pPr>
            <w:r>
              <w:t> </w:t>
            </w:r>
          </w:p>
        </w:tc>
        <w:tc>
          <w:tcPr>
            <w:tcW w:w="451"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pPr>
            <w:r>
              <w:t> </w:t>
            </w:r>
          </w:p>
        </w:tc>
        <w:tc>
          <w:tcPr>
            <w:tcW w:w="243"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c>
          <w:tcPr>
            <w:tcW w:w="3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periodic benefit cost (credit)</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30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30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5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pPr>
            <w:r>
              <w:t> </w:t>
            </w:r>
          </w:p>
        </w:tc>
        <w:tc>
          <w:tcPr>
            <w:tcW w:w="243"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pPr>
            <w:r>
              <w:t>—</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service cost components of net periodic pension and OPEB costs are included in cost of sales and selling, general and administrative expenses as part of compensation cost and are eligible for capitalization in inventory and other assets. The non-service components are reported in other income (expense), net and are </w:t>
      </w:r>
      <w:r>
        <w:rPr>
          <w:rStyle w:val="Emphasis"/>
          <w:rFonts w:ascii="Times New Roman;Times;serif" w:hAnsi="Times New Roman;Times;serif"/>
          <w:sz w:val="20"/>
        </w:rPr>
        <w:t>not</w:t>
      </w:r>
      <w:r>
        <w:rPr>
          <w:rFonts w:ascii="Times New Roman;Times;serif" w:hAnsi="Times New Roman;Times;serif"/>
          <w:sz w:val="20"/>
        </w:rPr>
        <w:t xml:space="preserve"> eligible for capitalization.</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7" w:name="fn11"/>
      <w:bookmarkEnd w:id="17"/>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xml:space="preserve"> Financing Agreements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Long-term debt at </w:t>
      </w:r>
      <w:r>
        <w:rPr>
          <w:rFonts w:ascii="Times New Roman;Times;serif" w:hAnsi="Times New Roman;Times;serif"/>
          <w:sz w:val="20"/>
        </w:rPr>
        <w:t>—</w:t>
      </w:r>
    </w:p>
    <w:p>
      <w:pPr>
        <w:pStyle w:val="TextBody"/>
        <w:bidi w:val="0"/>
        <w:spacing w:before="0" w:after="0"/>
        <w:ind w:left="0" w:right="0" w:hanging="0"/>
        <w:jc w:val="left"/>
      </w:pPr>
      <w:r>
        <w:t> </w:t>
      </w:r>
    </w:p>
    <w:tbl>
      <w:tblPr>
        <w:tblW w:w="8072" w:type="dxa"/>
        <w:jc w:val="left"/>
        <w:tblInd w:w="0" w:type="dxa"/>
        <w:tblLayout w:type="fixed"/>
        <w:tblCellMar>
          <w:top w:w="0" w:type="dxa"/>
          <w:left w:w="0" w:type="dxa"/>
          <w:bottom w:w="0" w:type="dxa"/>
          <w:right w:w="0" w:type="dxa"/>
        </w:tblCellMar>
      </w:tblPr>
      <w:tblGrid>
        <w:gridCol w:w="3260"/>
        <w:gridCol w:w="60"/>
        <w:gridCol w:w="114"/>
        <w:gridCol w:w="940"/>
        <w:gridCol w:w="185"/>
        <w:gridCol w:w="60"/>
        <w:gridCol w:w="444"/>
        <w:gridCol w:w="1195"/>
        <w:gridCol w:w="80"/>
        <w:gridCol w:w="60"/>
        <w:gridCol w:w="326"/>
        <w:gridCol w:w="1268"/>
        <w:gridCol w:w="80"/>
      </w:tblGrid>
      <w:tr>
        <w:tc>
          <w:tcPr>
            <w:tcW w:w="32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Interest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November 15, 2027</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4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pPr>
            <w:r>
              <w:t> </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June 15, 2028</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444" w:type="dxa"/>
            <w:tcBorders/>
            <w:shd w:fill="FFFFFF" w:val="clear"/>
            <w:vAlign w:val="center"/>
          </w:tcPr>
          <w:p>
            <w:pPr>
              <w:pStyle w:val="TableContents"/>
              <w:bidi w:val="0"/>
              <w:spacing w:before="0" w:after="283"/>
              <w:ind w:left="0" w:right="0" w:hanging="0"/>
              <w:jc w:val="left"/>
            </w:pPr>
            <w:r>
              <w:t> </w:t>
            </w:r>
          </w:p>
        </w:tc>
        <w:tc>
          <w:tcPr>
            <w:tcW w:w="119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6" w:type="dxa"/>
            <w:tcBorders/>
            <w:shd w:fill="FFFFFF" w:val="clear"/>
            <w:vAlign w:val="center"/>
          </w:tcPr>
          <w:p>
            <w:pPr>
              <w:pStyle w:val="TableContents"/>
              <w:bidi w:val="0"/>
              <w:spacing w:before="0" w:after="283"/>
              <w:ind w:left="0" w:right="0" w:hanging="0"/>
              <w:jc w:val="left"/>
            </w:pPr>
            <w: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pPr>
            <w:r>
              <w:t> </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Euro Notes due July 15, 2029</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444" w:type="dxa"/>
            <w:tcBorders/>
            <w:shd w:fill="CCEEFF" w:val="clear"/>
            <w:vAlign w:val="center"/>
          </w:tcPr>
          <w:p>
            <w:pPr>
              <w:pStyle w:val="TableContents"/>
              <w:bidi w:val="0"/>
              <w:spacing w:before="0" w:after="283"/>
              <w:ind w:left="0" w:right="0" w:hanging="0"/>
              <w:jc w:val="left"/>
            </w:pPr>
            <w: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ind w:left="0" w:right="0" w:hanging="0"/>
              <w:jc w:val="left"/>
            </w:pPr>
            <w: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pPr>
            <w:r>
              <w:t> </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September 1, 2030</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444" w:type="dxa"/>
            <w:tcBorders/>
            <w:shd w:fill="FFFFFF" w:val="clear"/>
            <w:vAlign w:val="center"/>
          </w:tcPr>
          <w:p>
            <w:pPr>
              <w:pStyle w:val="TableContents"/>
              <w:bidi w:val="0"/>
              <w:spacing w:before="0" w:after="283"/>
              <w:ind w:left="0" w:right="0" w:hanging="0"/>
              <w:jc w:val="left"/>
            </w:pPr>
            <w: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6" w:type="dxa"/>
            <w:tcBorders/>
            <w:shd w:fill="FFFFFF" w:val="clear"/>
            <w:vAlign w:val="center"/>
          </w:tcPr>
          <w:p>
            <w:pPr>
              <w:pStyle w:val="TableContents"/>
              <w:bidi w:val="0"/>
              <w:spacing w:before="0" w:after="283"/>
              <w:ind w:left="0" w:right="0" w:hanging="0"/>
              <w:jc w:val="left"/>
            </w:pPr>
            <w: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pPr>
            <w:r>
              <w:t> </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Euro Notes due July 15, 2031</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444" w:type="dxa"/>
            <w:tcBorders/>
            <w:shd w:fill="CCEEFF" w:val="clear"/>
            <w:vAlign w:val="center"/>
          </w:tcPr>
          <w:p>
            <w:pPr>
              <w:pStyle w:val="TableContents"/>
              <w:bidi w:val="0"/>
              <w:spacing w:before="0" w:after="283"/>
              <w:jc w:val="left"/>
            </w:pPr>
            <w:r>
              <w:t> </w:t>
            </w:r>
          </w:p>
        </w:tc>
        <w:tc>
          <w:tcPr>
            <w:tcW w:w="11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jc w:val="left"/>
            </w:pPr>
            <w:r>
              <w:t> </w:t>
            </w:r>
          </w:p>
        </w:tc>
        <w:tc>
          <w:tcPr>
            <w:tcW w:w="12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pPr>
            <w:r>
              <w:t> </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Notes due February 15, 2032</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444" w:type="dxa"/>
            <w:tcBorders/>
            <w:shd w:fill="FFFFFF" w:val="clear"/>
            <w:vAlign w:val="center"/>
          </w:tcPr>
          <w:p>
            <w:pPr>
              <w:pStyle w:val="TableContents"/>
              <w:bidi w:val="0"/>
              <w:spacing w:before="0" w:after="283"/>
              <w:ind w:left="0" w:right="0" w:hanging="0"/>
              <w:jc w:val="left"/>
            </w:pPr>
            <w:r>
              <w:t> </w:t>
            </w:r>
          </w:p>
        </w:tc>
        <w:tc>
          <w:tcPr>
            <w:tcW w:w="11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6" w:type="dxa"/>
            <w:tcBorders/>
            <w:shd w:fill="FFFFFF" w:val="clear"/>
            <w:vAlign w:val="center"/>
          </w:tcPr>
          <w:p>
            <w:pPr>
              <w:pStyle w:val="TableContents"/>
              <w:bidi w:val="0"/>
              <w:spacing w:before="0" w:after="283"/>
              <w:ind w:left="0" w:right="0" w:hanging="0"/>
              <w:jc w:val="left"/>
            </w:pPr>
            <w: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jc w:val="left"/>
            </w:pPr>
            <w:r>
              <w:t> </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indebtedness</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44" w:type="dxa"/>
            <w:tcBorders/>
            <w:shd w:fill="CCEEFF" w:val="clear"/>
            <w:vAlign w:val="center"/>
          </w:tcPr>
          <w:p>
            <w:pPr>
              <w:pStyle w:val="TableContents"/>
              <w:bidi w:val="0"/>
              <w:spacing w:before="0" w:after="283"/>
              <w:ind w:left="0" w:right="0" w:hanging="0"/>
              <w:jc w:val="left"/>
            </w:pPr>
            <w: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ind w:left="0" w:right="0" w:hanging="0"/>
              <w:jc w:val="left"/>
            </w:pPr>
            <w: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CCEEFF" w:val="clear"/>
            <w:vAlign w:val="center"/>
          </w:tcPr>
          <w:p>
            <w:pPr>
              <w:pStyle w:val="TableContents"/>
              <w:bidi w:val="0"/>
              <w:spacing w:before="0" w:after="283"/>
              <w:jc w:val="left"/>
            </w:pPr>
            <w:r>
              <w:t> </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44" w:type="dxa"/>
            <w:tcBorders/>
            <w:shd w:fill="CCEEFF" w:val="clear"/>
            <w:vAlign w:val="center"/>
          </w:tcPr>
          <w:p>
            <w:pPr>
              <w:pStyle w:val="TableContents"/>
              <w:bidi w:val="0"/>
              <w:spacing w:before="0" w:after="283"/>
              <w:ind w:left="0" w:right="0" w:hanging="0"/>
              <w:jc w:val="left"/>
            </w:pPr>
            <w:r>
              <w:t> </w:t>
            </w:r>
          </w:p>
        </w:tc>
        <w:tc>
          <w:tcPr>
            <w:tcW w:w="11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26" w:type="dxa"/>
            <w:tcBorders/>
            <w:shd w:fill="CCEEFF" w:val="clear"/>
            <w:vAlign w:val="center"/>
          </w:tcPr>
          <w:p>
            <w:pPr>
              <w:pStyle w:val="TableContents"/>
              <w:bidi w:val="0"/>
              <w:spacing w:before="0" w:after="283"/>
              <w:ind w:left="0" w:right="0" w:hanging="0"/>
              <w:jc w:val="left"/>
            </w:pPr>
            <w: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w:t>
            </w:r>
          </w:p>
        </w:tc>
        <w:tc>
          <w:tcPr>
            <w:tcW w:w="80" w:type="dxa"/>
            <w:tcBorders/>
            <w:shd w:fill="CCEEFF" w:val="clear"/>
            <w:vAlign w:val="center"/>
          </w:tcPr>
          <w:p>
            <w:pPr>
              <w:pStyle w:val="TableContents"/>
              <w:bidi w:val="0"/>
              <w:spacing w:before="0" w:after="283"/>
              <w:jc w:val="left"/>
            </w:pPr>
            <w:r>
              <w:t> </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 of long-term debt</w:t>
            </w:r>
          </w:p>
        </w:tc>
        <w:tc>
          <w:tcPr>
            <w:tcW w:w="60" w:type="dxa"/>
            <w:tcBorders/>
            <w:shd w:fill="FFFFFF" w:val="cle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debt issuance costs</w:t>
            </w:r>
          </w:p>
        </w:tc>
        <w:tc>
          <w:tcPr>
            <w:tcW w:w="60" w:type="dxa"/>
            <w:tcBorders/>
            <w:shd w:fill="CCEEFF" w:val="clear"/>
            <w:vAlign w:val="center"/>
          </w:tcPr>
          <w:p>
            <w:pPr>
              <w:pStyle w:val="TableContents"/>
              <w:bidi w:val="0"/>
              <w:spacing w:before="0" w:after="283"/>
              <w:jc w:val="left"/>
            </w:pPr>
            <w:r>
              <w:t> </w:t>
            </w:r>
          </w:p>
        </w:tc>
        <w:tc>
          <w:tcPr>
            <w:tcW w:w="114"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Interest on the senior notes is payable semi-annually. Other indebtedness includes borrowings from various financial institutions and finance lease obligations.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Senior notes activity </w:t>
      </w:r>
      <w:r>
        <w:rPr>
          <w:rFonts w:ascii="Times New Roman;Times;serif" w:hAnsi="Times New Roman;Times;serif"/>
          <w:sz w:val="20"/>
        </w:rPr>
        <w:t xml:space="preserve">— On </w:t>
      </w:r>
      <w:r>
        <w:rPr>
          <w:rStyle w:val="Emphasis"/>
          <w:rFonts w:ascii="Times New Roman;Times;serif" w:hAnsi="Times New Roman;Times;serif"/>
          <w:sz w:val="20"/>
        </w:rPr>
        <w:t xml:space="preserve">April 15, 2025, </w:t>
      </w:r>
      <w:r>
        <w:rPr>
          <w:rFonts w:ascii="Times New Roman;Times;serif" w:hAnsi="Times New Roman;Times;serif"/>
          <w:sz w:val="20"/>
        </w:rPr>
        <w:t xml:space="preserve">Dana retired its remaining </w:t>
      </w:r>
      <w:r>
        <w:rPr>
          <w:rStyle w:val="Emphasis"/>
          <w:rFonts w:ascii="Times New Roman;Times;serif" w:hAnsi="Times New Roman;Times;serif"/>
          <w:sz w:val="20"/>
        </w:rPr>
        <w:t xml:space="preserve">April 2025 </w:t>
      </w:r>
      <w:r>
        <w:rPr>
          <w:rFonts w:ascii="Times New Roman;Times;serif" w:hAnsi="Times New Roman;Times;serif"/>
          <w:sz w:val="20"/>
        </w:rPr>
        <w:t xml:space="preserve">Notes. On </w:t>
      </w:r>
      <w:r>
        <w:rPr>
          <w:rStyle w:val="Emphasis"/>
          <w:rFonts w:ascii="Times New Roman;Times;serif" w:hAnsi="Times New Roman;Times;serif"/>
          <w:sz w:val="20"/>
        </w:rPr>
        <w:t xml:space="preserve">December 4, 2025, </w:t>
      </w:r>
      <w:r>
        <w:rPr>
          <w:rFonts w:ascii="Times New Roman;Times;serif" w:hAnsi="Times New Roman;Times;serif"/>
          <w:sz w:val="20"/>
        </w:rPr>
        <w:t>we offered as part of a net proceeds tender offer to purchase at a price equal to 100.00% plus accrued and unpaid interest up to $173 of our </w:t>
      </w:r>
      <w:r>
        <w:rPr>
          <w:rStyle w:val="Emphasis"/>
          <w:rFonts w:ascii="Times New Roman;Times;serif" w:hAnsi="Times New Roman;Times;serif"/>
          <w:sz w:val="20"/>
        </w:rPr>
        <w:t xml:space="preserve"> November 2027 </w:t>
      </w:r>
      <w:r>
        <w:rPr>
          <w:rFonts w:ascii="Times New Roman;Times;serif" w:hAnsi="Times New Roman;Times;serif"/>
          <w:sz w:val="20"/>
        </w:rPr>
        <w:t xml:space="preserve">Notes, up to $173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up to €141 of our </w:t>
      </w:r>
      <w:r>
        <w:rPr>
          <w:rStyle w:val="Emphasis"/>
          <w:rFonts w:ascii="Times New Roman;Times;serif" w:hAnsi="Times New Roman;Times;serif"/>
          <w:sz w:val="20"/>
        </w:rPr>
        <w:t xml:space="preserve">July 2029 </w:t>
      </w:r>
      <w:r>
        <w:rPr>
          <w:rFonts w:ascii="Times New Roman;Times;serif" w:hAnsi="Times New Roman;Times;serif"/>
          <w:sz w:val="20"/>
        </w:rPr>
        <w:t xml:space="preserve">Notes, up to $173 of our </w:t>
      </w:r>
      <w:r>
        <w:rPr>
          <w:rStyle w:val="Emphasis"/>
          <w:rFonts w:ascii="Times New Roman;Times;serif" w:hAnsi="Times New Roman;Times;serif"/>
          <w:sz w:val="20"/>
        </w:rPr>
        <w:t xml:space="preserve">September 2030 </w:t>
      </w:r>
      <w:r>
        <w:rPr>
          <w:rFonts w:ascii="Times New Roman;Times;serif" w:hAnsi="Times New Roman;Times;serif"/>
          <w:sz w:val="20"/>
        </w:rPr>
        <w:t xml:space="preserve">Notes, up to €184 of our </w:t>
      </w:r>
      <w:r>
        <w:rPr>
          <w:rStyle w:val="Emphasis"/>
          <w:rFonts w:ascii="Times New Roman;Times;serif" w:hAnsi="Times New Roman;Times;serif"/>
          <w:sz w:val="20"/>
        </w:rPr>
        <w:t xml:space="preserve">July 2031 </w:t>
      </w:r>
      <w:r>
        <w:rPr>
          <w:rFonts w:ascii="Times New Roman;Times;serif" w:hAnsi="Times New Roman;Times;serif"/>
          <w:sz w:val="20"/>
        </w:rPr>
        <w:t xml:space="preserve">Notes and up to $152 of our </w:t>
      </w:r>
      <w:r>
        <w:rPr>
          <w:rStyle w:val="Emphasis"/>
          <w:rFonts w:ascii="Times New Roman;Times;serif" w:hAnsi="Times New Roman;Times;serif"/>
          <w:sz w:val="20"/>
        </w:rPr>
        <w:t xml:space="preserve">February 2032 </w:t>
      </w:r>
      <w:r>
        <w:rPr>
          <w:rFonts w:ascii="Times New Roman;Times;serif" w:hAnsi="Times New Roman;Times;serif"/>
          <w:sz w:val="20"/>
        </w:rPr>
        <w:t xml:space="preserve">Notes. The offers were conditioned on Dana receiving proceeds from the sale of its Off-Highway business and other customary conditions. In addition, on </w:t>
      </w:r>
      <w:r>
        <w:rPr>
          <w:rStyle w:val="Emphasis"/>
          <w:rFonts w:ascii="Times New Roman;Times;serif" w:hAnsi="Times New Roman;Times;serif"/>
          <w:sz w:val="20"/>
        </w:rPr>
        <w:t xml:space="preserve">December 4, 2025, </w:t>
      </w:r>
      <w:r>
        <w:rPr>
          <w:rFonts w:ascii="Times New Roman;Times;serif" w:hAnsi="Times New Roman;Times;serif"/>
          <w:sz w:val="20"/>
        </w:rPr>
        <w:t xml:space="preserve">we issued notices of conditional full redemption with a redemption date of </w:t>
      </w:r>
      <w:r>
        <w:rPr>
          <w:rStyle w:val="Emphasis"/>
          <w:rFonts w:ascii="Times New Roman;Times;serif" w:hAnsi="Times New Roman;Times;serif"/>
          <w:sz w:val="20"/>
        </w:rPr>
        <w:t xml:space="preserve">January 8, 2026 </w:t>
      </w:r>
      <w:r>
        <w:rPr>
          <w:rFonts w:ascii="Times New Roman;Times;serif" w:hAnsi="Times New Roman;Times;serif"/>
          <w:sz w:val="20"/>
        </w:rPr>
        <w:t xml:space="preserve">for all of our outstanding </w:t>
      </w:r>
      <w:r>
        <w:rPr>
          <w:rStyle w:val="Emphasis"/>
          <w:rFonts w:ascii="Times New Roman;Times;serif" w:hAnsi="Times New Roman;Times;serif"/>
          <w:sz w:val="20"/>
        </w:rPr>
        <w:t>November 2027 </w:t>
      </w:r>
      <w:r>
        <w:rPr>
          <w:rFonts w:ascii="Times New Roman;Times;serif" w:hAnsi="Times New Roman;Times;serif"/>
          <w:sz w:val="20"/>
        </w:rPr>
        <w:t xml:space="preserve">Notes and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at a redemption price equal to 100.00% plus accrued and unpaid interest. The redemptions were conditioned on Dana receiving proceeds from the sales of its Off-Highway business. 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Dana completed the sale of its Off-Highway business.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 On </w:t>
      </w:r>
      <w:r>
        <w:rPr>
          <w:rStyle w:val="Emphasis"/>
          <w:rFonts w:ascii="Times New Roman;Times;serif" w:hAnsi="Times New Roman;Times;serif"/>
          <w:sz w:val="20"/>
        </w:rPr>
        <w:t xml:space="preserve">January 7, 2026, </w:t>
      </w:r>
      <w:r>
        <w:rPr>
          <w:rFonts w:ascii="Times New Roman;Times;serif" w:hAnsi="Times New Roman;Times;serif"/>
          <w:sz w:val="20"/>
        </w:rPr>
        <w:t>we purchased $138 of our </w:t>
      </w:r>
      <w:r>
        <w:rPr>
          <w:rStyle w:val="Emphasis"/>
          <w:rFonts w:ascii="Times New Roman;Times;serif" w:hAnsi="Times New Roman;Times;serif"/>
          <w:sz w:val="20"/>
        </w:rPr>
        <w:t xml:space="preserve"> November 2027 </w:t>
      </w:r>
      <w:r>
        <w:rPr>
          <w:rFonts w:ascii="Times New Roman;Times;serif" w:hAnsi="Times New Roman;Times;serif"/>
          <w:sz w:val="20"/>
        </w:rPr>
        <w:t xml:space="preserve">Notes, $142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€141 of our </w:t>
      </w:r>
      <w:r>
        <w:rPr>
          <w:rStyle w:val="Emphasis"/>
          <w:rFonts w:ascii="Times New Roman;Times;serif" w:hAnsi="Times New Roman;Times;serif"/>
          <w:sz w:val="20"/>
        </w:rPr>
        <w:t xml:space="preserve">July 2029 </w:t>
      </w:r>
      <w:r>
        <w:rPr>
          <w:rFonts w:ascii="Times New Roman;Times;serif" w:hAnsi="Times New Roman;Times;serif"/>
          <w:sz w:val="20"/>
        </w:rPr>
        <w:t xml:space="preserve">Notes ($164 as of </w:t>
      </w:r>
      <w:r>
        <w:rPr>
          <w:rStyle w:val="Emphasis"/>
          <w:rFonts w:ascii="Times New Roman;Times;serif" w:hAnsi="Times New Roman;Times;serif"/>
          <w:sz w:val="20"/>
        </w:rPr>
        <w:t xml:space="preserve">January 7, 2026), </w:t>
      </w:r>
      <w:r>
        <w:rPr>
          <w:rFonts w:ascii="Times New Roman;Times;serif" w:hAnsi="Times New Roman;Times;serif"/>
          <w:sz w:val="20"/>
        </w:rPr>
        <w:t xml:space="preserve">$173 of our </w:t>
      </w:r>
      <w:r>
        <w:rPr>
          <w:rStyle w:val="Emphasis"/>
          <w:rFonts w:ascii="Times New Roman;Times;serif" w:hAnsi="Times New Roman;Times;serif"/>
          <w:sz w:val="20"/>
        </w:rPr>
        <w:t xml:space="preserve">September 2030 </w:t>
      </w:r>
      <w:r>
        <w:rPr>
          <w:rFonts w:ascii="Times New Roman;Times;serif" w:hAnsi="Times New Roman;Times;serif"/>
          <w:sz w:val="20"/>
        </w:rPr>
        <w:t xml:space="preserve">Notes, €9 of our </w:t>
      </w:r>
      <w:r>
        <w:rPr>
          <w:rStyle w:val="Emphasis"/>
          <w:rFonts w:ascii="Times New Roman;Times;serif" w:hAnsi="Times New Roman;Times;serif"/>
          <w:sz w:val="20"/>
        </w:rPr>
        <w:t xml:space="preserve">July 2031 </w:t>
      </w:r>
      <w:r>
        <w:rPr>
          <w:rFonts w:ascii="Times New Roman;Times;serif" w:hAnsi="Times New Roman;Times;serif"/>
          <w:sz w:val="20"/>
        </w:rPr>
        <w:t xml:space="preserve">Notes ($10 as of </w:t>
      </w:r>
      <w:r>
        <w:rPr>
          <w:rStyle w:val="Emphasis"/>
          <w:rFonts w:ascii="Times New Roman;Times;serif" w:hAnsi="Times New Roman;Times;serif"/>
          <w:sz w:val="20"/>
        </w:rPr>
        <w:t xml:space="preserve">January 7, 2026) </w:t>
      </w:r>
      <w:r>
        <w:rPr>
          <w:rFonts w:ascii="Times New Roman;Times;serif" w:hAnsi="Times New Roman;Times;serif"/>
          <w:sz w:val="20"/>
        </w:rPr>
        <w:t xml:space="preserve">and $152 of our </w:t>
      </w:r>
      <w:r>
        <w:rPr>
          <w:rStyle w:val="Emphasis"/>
          <w:rFonts w:ascii="Times New Roman;Times;serif" w:hAnsi="Times New Roman;Times;serif"/>
          <w:sz w:val="20"/>
        </w:rPr>
        <w:t xml:space="preserve">February 2032 </w:t>
      </w:r>
      <w:r>
        <w:rPr>
          <w:rFonts w:ascii="Times New Roman;Times;serif" w:hAnsi="Times New Roman;Times;serif"/>
          <w:sz w:val="20"/>
        </w:rPr>
        <w:t xml:space="preserve">Notes at prices equal to 100.00% plus accrued and unpaid interest. On </w:t>
      </w:r>
      <w:r>
        <w:rPr>
          <w:rStyle w:val="Emphasis"/>
          <w:rFonts w:ascii="Times New Roman;Times;serif" w:hAnsi="Times New Roman;Times;serif"/>
          <w:sz w:val="20"/>
        </w:rPr>
        <w:t xml:space="preserve">January 8, 2026, </w:t>
      </w:r>
      <w:r>
        <w:rPr>
          <w:rFonts w:ascii="Times New Roman;Times;serif" w:hAnsi="Times New Roman;Times;serif"/>
          <w:sz w:val="20"/>
        </w:rPr>
        <w:t xml:space="preserve">we redeemed the remaining $262 of our </w:t>
      </w:r>
      <w:r>
        <w:rPr>
          <w:rStyle w:val="Emphasis"/>
          <w:rFonts w:ascii="Times New Roman;Times;serif" w:hAnsi="Times New Roman;Times;serif"/>
          <w:sz w:val="20"/>
        </w:rPr>
        <w:t xml:space="preserve">November 2027 </w:t>
      </w:r>
      <w:r>
        <w:rPr>
          <w:rFonts w:ascii="Times New Roman;Times;serif" w:hAnsi="Times New Roman;Times;serif"/>
          <w:sz w:val="20"/>
        </w:rPr>
        <w:t xml:space="preserve">Notes and the remaining $258 of our </w:t>
      </w:r>
      <w:r>
        <w:rPr>
          <w:rStyle w:val="Emphasis"/>
          <w:rFonts w:ascii="Times New Roman;Times;serif" w:hAnsi="Times New Roman;Times;serif"/>
          <w:sz w:val="20"/>
        </w:rPr>
        <w:t xml:space="preserve">June 2028 </w:t>
      </w:r>
      <w:r>
        <w:rPr>
          <w:rFonts w:ascii="Times New Roman;Times;serif" w:hAnsi="Times New Roman;Times;serif"/>
          <w:sz w:val="20"/>
        </w:rPr>
        <w:t xml:space="preserve">Notes at prices equal to 100.00% plus accrued and unpaid interest. During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recognized a $7 loss on extinguishment of debt comprised of the write-off of previously deferred financing costs associated with the redeemed senior notes. On </w:t>
      </w:r>
      <w:r>
        <w:rPr>
          <w:rStyle w:val="Emphasis"/>
          <w:rFonts w:ascii="Times New Roman;Times;serif" w:hAnsi="Times New Roman;Times;serif"/>
          <w:sz w:val="20"/>
        </w:rPr>
        <w:t xml:space="preserve">July 31, 2026, </w:t>
      </w:r>
      <w:r>
        <w:rPr>
          <w:rFonts w:ascii="Times New Roman;Times;serif" w:hAnsi="Times New Roman;Times;serif"/>
          <w:sz w:val="20"/>
        </w:rPr>
        <w:t xml:space="preserve">we redeemed all of our outstanding </w:t>
      </w:r>
      <w:r>
        <w:rPr>
          <w:rStyle w:val="Emphasis"/>
          <w:rFonts w:ascii="Times New Roman;Times;serif" w:hAnsi="Times New Roman;Times;serif"/>
          <w:sz w:val="20"/>
        </w:rPr>
        <w:t xml:space="preserve">July 2031 </w:t>
      </w:r>
      <w:r>
        <w:rPr>
          <w:rFonts w:ascii="Times New Roman;Times;serif" w:hAnsi="Times New Roman;Times;serif"/>
          <w:sz w:val="20"/>
        </w:rPr>
        <w:t xml:space="preserve">Notes at a price equal to 104.25% plus accrued and unpaid interest. During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recognized a $24 loss on extinguishment of debt comprised of the $20 redemption premium and the write-off of $4 of previously deferred financing costs associated with the </w:t>
      </w:r>
      <w:r>
        <w:rPr>
          <w:rStyle w:val="Emphasis"/>
          <w:rFonts w:ascii="Times New Roman;Times;serif" w:hAnsi="Times New Roman;Times;serif"/>
          <w:sz w:val="20"/>
        </w:rPr>
        <w:t xml:space="preserve">July 2031 </w:t>
      </w:r>
      <w:r>
        <w:rPr>
          <w:rFonts w:ascii="Times New Roman;Times;serif" w:hAnsi="Times New Roman;Times;serif"/>
          <w:sz w:val="20"/>
        </w:rPr>
        <w:t>Notes.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pPr>
      <w:r>
        <w:rPr>
          <w:rFonts w:ascii="Times New Roman;Times;serif" w:hAnsi="Times New Roman;Times;serif"/>
          <w:i/>
          <w:sz w:val="20"/>
        </w:rPr>
        <w:t>Senior notes redemption provisions </w:t>
      </w:r>
      <w:r>
        <w:rPr>
          <w:rFonts w:ascii="Times New Roman;Times;serif" w:hAnsi="Times New Roman;Times;serif"/>
          <w:sz w:val="20"/>
        </w:rPr>
        <w:t xml:space="preserve">— We </w:t>
      </w:r>
      <w:r>
        <w:rPr>
          <w:rStyle w:val="Emphasis"/>
          <w:rFonts w:ascii="Times New Roman;Times;serif" w:hAnsi="Times New Roman;Times;serif"/>
          <w:sz w:val="20"/>
        </w:rPr>
        <w:t xml:space="preserve">may </w:t>
      </w:r>
      <w:r>
        <w:rPr>
          <w:rFonts w:ascii="Times New Roman;Times;serif" w:hAnsi="Times New Roman;Times;serif"/>
          <w:sz w:val="20"/>
        </w:rPr>
        <w:t xml:space="preserve">redeem some or all of the senior notes at the following redemption prices (expressed as percentages of principal amount), plus accrued and unpaid interest to the redemption date, if redeemed during the </w:t>
      </w:r>
      <w:r>
        <w:rPr>
          <w:rStyle w:val="Emphasis"/>
          <w:rFonts w:ascii="Times New Roman;Times;serif" w:hAnsi="Times New Roman;Times;serif"/>
          <w:sz w:val="20"/>
        </w:rPr>
        <w:t>12</w:t>
      </w:r>
      <w:r>
        <w:rPr>
          <w:rFonts w:ascii="Times New Roman;Times;serif" w:hAnsi="Times New Roman;Times;serif"/>
          <w:sz w:val="20"/>
        </w:rPr>
        <w:t>-month period commencing on the anniversary date of the senior notes in the year set forth below:</w:t>
      </w:r>
    </w:p>
    <w:p>
      <w:pPr>
        <w:pStyle w:val="TextBody"/>
        <w:bidi w:val="0"/>
        <w:spacing w:before="0" w:after="0"/>
        <w:ind w:left="0" w:right="0" w:hanging="0"/>
        <w:jc w:val="left"/>
      </w:pPr>
      <w:r>
        <w:t> </w:t>
      </w:r>
    </w:p>
    <w:tbl>
      <w:tblPr>
        <w:tblW w:w="4022" w:type="dxa"/>
        <w:jc w:val="left"/>
        <w:tblInd w:w="0" w:type="dxa"/>
        <w:tblLayout w:type="fixed"/>
        <w:tblCellMar>
          <w:top w:w="0" w:type="dxa"/>
          <w:left w:w="0" w:type="dxa"/>
          <w:bottom w:w="0" w:type="dxa"/>
          <w:right w:w="0" w:type="dxa"/>
        </w:tblCellMar>
      </w:tblPr>
      <w:tblGrid>
        <w:gridCol w:w="440"/>
        <w:gridCol w:w="60"/>
        <w:gridCol w:w="75"/>
        <w:gridCol w:w="874"/>
        <w:gridCol w:w="185"/>
        <w:gridCol w:w="60"/>
        <w:gridCol w:w="74"/>
        <w:gridCol w:w="875"/>
        <w:gridCol w:w="185"/>
        <w:gridCol w:w="60"/>
        <w:gridCol w:w="75"/>
        <w:gridCol w:w="874"/>
        <w:gridCol w:w="185"/>
      </w:tblGrid>
      <w:tr>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33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Price</w:t>
            </w:r>
          </w:p>
        </w:tc>
        <w:tc>
          <w:tcPr>
            <w:tcW w:w="185" w:type="dxa"/>
            <w:tcBorders/>
            <w:vAlign w:val="center"/>
          </w:tcPr>
          <w:p>
            <w:pPr>
              <w:pStyle w:val="TableContents"/>
              <w:bidi w:val="0"/>
              <w:spacing w:before="0" w:after="283"/>
              <w:jc w:val="left"/>
            </w:pPr>
            <w:r>
              <w:t> </w:t>
            </w:r>
          </w:p>
        </w:tc>
      </w:tr>
      <w:tr>
        <w:tc>
          <w:tcPr>
            <w:tcW w:w="44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w:t>
            </w:r>
          </w:p>
        </w:tc>
        <w:tc>
          <w:tcPr>
            <w:tcW w:w="185" w:type="dxa"/>
            <w:tcBorders/>
            <w:vAlign w:val="center"/>
          </w:tcPr>
          <w:p>
            <w:pPr>
              <w:pStyle w:val="TableContents"/>
              <w:bidi w:val="0"/>
              <w:spacing w:before="0" w:after="283"/>
              <w:jc w:val="left"/>
            </w:pPr>
            <w:r>
              <w:t> </w:t>
            </w:r>
          </w:p>
        </w:tc>
      </w:tr>
      <w:tr>
        <w:tc>
          <w:tcPr>
            <w:tcW w:w="4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60" w:type="dxa"/>
            <w:tcBorders/>
            <w:vAlign w:val="center"/>
          </w:tcPr>
          <w:p>
            <w:pPr>
              <w:pStyle w:val="TableContents"/>
              <w:bidi w:val="0"/>
              <w:spacing w:before="0" w:after="283"/>
              <w:ind w:left="0" w:right="0" w:hanging="0"/>
              <w:jc w:val="left"/>
            </w:pPr>
            <w: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2029 Notes</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2030 Notes</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2032 Notes</w:t>
            </w:r>
          </w:p>
        </w:tc>
        <w:tc>
          <w:tcPr>
            <w:tcW w:w="185" w:type="dxa"/>
            <w:tcBorders/>
            <w:vAlign w:val="center"/>
          </w:tcPr>
          <w:p>
            <w:pPr>
              <w:pStyle w:val="TableContents"/>
              <w:bidi w:val="0"/>
              <w:spacing w:before="0" w:after="283"/>
              <w:jc w:val="left"/>
            </w:pPr>
            <w:r>
              <w:t> </w:t>
            </w:r>
          </w:p>
        </w:tc>
      </w:tr>
      <w:t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ind w:left="0" w:right="0" w:hanging="0"/>
              <w:jc w:val="left"/>
            </w:pPr>
            <w: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874"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r>
      <w:t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ind w:left="0" w:right="0" w:hanging="0"/>
              <w:jc w:val="left"/>
            </w:pPr>
            <w: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ind w:left="0" w:right="0" w:hanging="0"/>
              <w:jc w:val="left"/>
            </w:pPr>
            <w: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874"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ind w:left="0" w:right="0" w:hanging="0"/>
              <w:jc w:val="left"/>
            </w:pPr>
            <w: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874"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875" w:type="dxa"/>
            <w:tcBorders/>
            <w:shd w:fill="CCEEFF" w:val="clear"/>
            <w:vAlign w:val="center"/>
          </w:tcPr>
          <w:p>
            <w:pPr>
              <w:pStyle w:val="TableContents"/>
              <w:bidi w:val="0"/>
              <w:spacing w:before="0" w:after="283"/>
              <w:jc w:val="right"/>
            </w:pPr>
            <w:r>
              <w:rPr>
                <w:rStyle w:val="Emphasis"/>
              </w:rP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874"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875" w:type="dxa"/>
            <w:tcBorders/>
            <w:shd w:fill="FFFFFF" w:val="clear"/>
            <w:vAlign w:val="center"/>
          </w:tcPr>
          <w:p>
            <w:pPr>
              <w:pStyle w:val="TableContents"/>
              <w:bidi w:val="0"/>
              <w:spacing w:before="0" w:after="283"/>
              <w:jc w:val="right"/>
            </w:pPr>
            <w:r>
              <w:rPr>
                <w:rStyle w:val="Emphasis"/>
              </w:rP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jc w:val="cente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Prior to </w:t>
      </w:r>
      <w:r>
        <w:rPr>
          <w:rStyle w:val="Emphasis"/>
          <w:rFonts w:ascii="Times New Roman;Times;serif" w:hAnsi="Times New Roman;Times;serif"/>
          <w:caps w:val="false"/>
          <w:smallCaps w:val="false"/>
          <w:sz w:val="20"/>
        </w:rPr>
        <w:t xml:space="preserve">February 15, 2027, </w:t>
      </w:r>
      <w:r>
        <w:rPr>
          <w:rFonts w:ascii="Times New Roman;Times;serif" w:hAnsi="Times New Roman;Times;serif"/>
          <w:caps w:val="false"/>
          <w:smallCaps w:val="false"/>
          <w:sz w:val="20"/>
        </w:rPr>
        <w:t xml:space="preserve">we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redeem some or all of the </w:t>
      </w:r>
      <w:r>
        <w:rPr>
          <w:rStyle w:val="Emphasis"/>
          <w:rFonts w:ascii="Times New Roman;Times;serif" w:hAnsi="Times New Roman;Times;serif"/>
          <w:caps w:val="false"/>
          <w:smallCaps w:val="false"/>
          <w:sz w:val="20"/>
        </w:rPr>
        <w:t xml:space="preserve">February 2032 </w:t>
      </w:r>
      <w:r>
        <w:rPr>
          <w:rFonts w:ascii="Times New Roman;Times;serif" w:hAnsi="Times New Roman;Times;serif"/>
          <w:caps w:val="false"/>
          <w:smallCaps w:val="false"/>
          <w:sz w:val="20"/>
        </w:rPr>
        <w:t xml:space="preserve">Notes at a redemption price equal to 100% of the aggregate principal amount thereof, plus accrued and unpaid interest, if any, to the redemption date plus a “make-whole” premium. We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separated the make-whole premium from the underlying debt instrument to account for it as a derivative instrument as the economic characteristics and the risks of this embedded derivative are clearly and closely related to the economic characteristics and risks of the underlying debt.</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left"/>
      </w:pPr>
      <w:r>
        <w:rPr>
          <w:rFonts w:ascii="Times New Roman;Times;serif" w:hAnsi="Times New Roman;Times;serif"/>
          <w:i/>
          <w:sz w:val="20"/>
        </w:rPr>
        <w:t>Credit agreement</w:t>
      </w:r>
      <w:r>
        <w:rPr>
          <w:rFonts w:ascii="Times New Roman;Times;serif" w:hAnsi="Times New Roman;Times;serif"/>
          <w:sz w:val="20"/>
        </w:rPr>
        <w:t xml:space="preserve"> — On </w:t>
      </w:r>
      <w:r>
        <w:rPr>
          <w:rStyle w:val="Emphasis"/>
          <w:rFonts w:ascii="Times New Roman;Times;serif" w:hAnsi="Times New Roman;Times;serif"/>
          <w:sz w:val="20"/>
        </w:rPr>
        <w:t xml:space="preserve">July 31, 2025, </w:t>
      </w:r>
      <w:r>
        <w:rPr>
          <w:rFonts w:ascii="Times New Roman;Times;serif" w:hAnsi="Times New Roman;Times;serif"/>
          <w:sz w:val="20"/>
        </w:rPr>
        <w:t xml:space="preserve">we amended our credit and guaranty agreement to include a $250 Term A Facility (the </w:t>
      </w:r>
      <w:r>
        <w:rPr>
          <w:rStyle w:val="Emphasis"/>
          <w:rFonts w:ascii="Times New Roman;Times;serif" w:hAnsi="Times New Roman;Times;serif"/>
          <w:sz w:val="20"/>
        </w:rPr>
        <w:t>2025</w:t>
      </w:r>
      <w:r>
        <w:rPr>
          <w:rFonts w:ascii="Times New Roman;Times;serif" w:hAnsi="Times New Roman;Times;serif"/>
          <w:sz w:val="20"/>
        </w:rPr>
        <w:t xml:space="preserve"> Term A Facility). Borrowings under the </w:t>
      </w:r>
      <w:r>
        <w:rPr>
          <w:rStyle w:val="Emphasis"/>
          <w:rFonts w:ascii="Times New Roman;Times;serif" w:hAnsi="Times New Roman;Times;serif"/>
          <w:sz w:val="20"/>
        </w:rPr>
        <w:t>2025</w:t>
      </w:r>
      <w:r>
        <w:rPr>
          <w:rFonts w:ascii="Times New Roman;Times;serif" w:hAnsi="Times New Roman;Times;serif"/>
          <w:sz w:val="20"/>
        </w:rPr>
        <w:t xml:space="preserve"> Term A Facility bear interest at a floating rate based on Term Secured Overnight Financing Rate (SOFR) (as described in the credit agreement) plus a margin. The </w:t>
      </w:r>
      <w:r>
        <w:rPr>
          <w:rStyle w:val="Emphasis"/>
          <w:rFonts w:ascii="Times New Roman;Times;serif" w:hAnsi="Times New Roman;Times;serif"/>
          <w:sz w:val="20"/>
        </w:rPr>
        <w:t>2025</w:t>
      </w:r>
      <w:r>
        <w:rPr>
          <w:rFonts w:ascii="Times New Roman;Times;serif" w:hAnsi="Times New Roman;Times;serif"/>
          <w:sz w:val="20"/>
        </w:rPr>
        <w:t xml:space="preserve"> Term A Facility matured five business days after the consummation of the Off-Highway business sale. We were required to make quarterly installments on the </w:t>
      </w:r>
      <w:r>
        <w:rPr>
          <w:rStyle w:val="Emphasis"/>
          <w:rFonts w:ascii="Times New Roman;Times;serif" w:hAnsi="Times New Roman;Times;serif"/>
          <w:sz w:val="20"/>
        </w:rPr>
        <w:t>2025</w:t>
      </w:r>
      <w:r>
        <w:rPr>
          <w:rFonts w:ascii="Times New Roman;Times;serif" w:hAnsi="Times New Roman;Times;serif"/>
          <w:sz w:val="20"/>
        </w:rPr>
        <w:t xml:space="preserve"> Term A Facility on the last day of each quarter commencing on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in an amount equal to 10% of the original amount borrowed adjusted for any prepayments. On </w:t>
      </w:r>
      <w:r>
        <w:rPr>
          <w:rStyle w:val="Emphasis"/>
          <w:rFonts w:ascii="Times New Roman;Times;serif" w:hAnsi="Times New Roman;Times;serif"/>
          <w:sz w:val="20"/>
        </w:rPr>
        <w:t xml:space="preserve">July 31, 2025, </w:t>
      </w:r>
      <w:r>
        <w:rPr>
          <w:rFonts w:ascii="Times New Roman;Times;serif" w:hAnsi="Times New Roman;Times;serif"/>
          <w:sz w:val="20"/>
        </w:rPr>
        <w:t xml:space="preserve">we fully drew the </w:t>
      </w:r>
      <w:r>
        <w:rPr>
          <w:rStyle w:val="Emphasis"/>
          <w:rFonts w:ascii="Times New Roman;Times;serif" w:hAnsi="Times New Roman;Times;serif"/>
          <w:sz w:val="20"/>
        </w:rPr>
        <w:t>2025</w:t>
      </w:r>
      <w:r>
        <w:rPr>
          <w:rFonts w:ascii="Times New Roman;Times;serif" w:hAnsi="Times New Roman;Times;serif"/>
          <w:sz w:val="20"/>
        </w:rPr>
        <w:t xml:space="preserve"> Term A Facility and used the proceeds to pay down outstanding borrowings on our Revolving Facility. On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we made the required $25 payment on the </w:t>
      </w:r>
      <w:r>
        <w:rPr>
          <w:rStyle w:val="Emphasis"/>
          <w:rFonts w:ascii="Times New Roman;Times;serif" w:hAnsi="Times New Roman;Times;serif"/>
          <w:sz w:val="20"/>
        </w:rPr>
        <w:t>2025</w:t>
      </w:r>
      <w:r>
        <w:rPr>
          <w:rFonts w:ascii="Times New Roman;Times;serif" w:hAnsi="Times New Roman;Times;serif"/>
          <w:sz w:val="20"/>
        </w:rPr>
        <w:t xml:space="preserve"> Term A Facility. On </w:t>
      </w:r>
      <w:r>
        <w:rPr>
          <w:rStyle w:val="Emphasis"/>
          <w:rFonts w:ascii="Times New Roman;Times;serif" w:hAnsi="Times New Roman;Times;serif"/>
          <w:sz w:val="20"/>
        </w:rPr>
        <w:t xml:space="preserve">January 1, 2026, </w:t>
      </w:r>
      <w:r>
        <w:rPr>
          <w:rFonts w:ascii="Times New Roman;Times;serif" w:hAnsi="Times New Roman;Times;serif"/>
          <w:sz w:val="20"/>
        </w:rPr>
        <w:t xml:space="preserve">Dana completed the sale of its Off-Highway business. See Note </w:t>
      </w:r>
      <w:r>
        <w:rPr>
          <w:rStyle w:val="Emphasis"/>
          <w:rFonts w:ascii="Times New Roman;Times;serif" w:hAnsi="Times New Roman;Times;serif"/>
          <w:sz w:val="20"/>
        </w:rPr>
        <w:t>2</w:t>
      </w:r>
      <w:r>
        <w:rPr>
          <w:rFonts w:ascii="Times New Roman;Times;serif" w:hAnsi="Times New Roman;Times;serif"/>
          <w:sz w:val="20"/>
        </w:rPr>
        <w:t xml:space="preserve"> for additional information. On </w:t>
      </w:r>
      <w:r>
        <w:rPr>
          <w:rStyle w:val="Emphasis"/>
          <w:rFonts w:ascii="Times New Roman;Times;serif" w:hAnsi="Times New Roman;Times;serif"/>
          <w:sz w:val="20"/>
        </w:rPr>
        <w:t xml:space="preserve">January 2, 2026, </w:t>
      </w:r>
      <w:r>
        <w:rPr>
          <w:rFonts w:ascii="Times New Roman;Times;serif" w:hAnsi="Times New Roman;Times;serif"/>
          <w:sz w:val="20"/>
        </w:rPr>
        <w:t xml:space="preserve">we repaid the $225 outstanding balance on the </w:t>
      </w:r>
      <w:r>
        <w:rPr>
          <w:rStyle w:val="Emphasis"/>
          <w:rFonts w:ascii="Times New Roman;Times;serif" w:hAnsi="Times New Roman;Times;serif"/>
          <w:sz w:val="20"/>
        </w:rPr>
        <w:t>2025</w:t>
      </w:r>
      <w:r>
        <w:rPr>
          <w:rFonts w:ascii="Times New Roman;Times;serif" w:hAnsi="Times New Roman;Times;serif"/>
          <w:sz w:val="20"/>
        </w:rPr>
        <w:t xml:space="preserve"> Term A Facility. On </w:t>
      </w:r>
      <w:r>
        <w:rPr>
          <w:rStyle w:val="Emphasis"/>
          <w:rFonts w:ascii="Times New Roman;Times;serif" w:hAnsi="Times New Roman;Times;serif"/>
          <w:sz w:val="20"/>
        </w:rPr>
        <w:t xml:space="preserve"> July 10, 2026, </w:t>
      </w:r>
      <w:r>
        <w:rPr>
          <w:rFonts w:ascii="Times New Roman;Times;serif" w:hAnsi="Times New Roman;Times;serif"/>
          <w:sz w:val="20"/>
        </w:rPr>
        <w:t xml:space="preserve">we amended our credit and guaranty agreement to include a $500 Term A Facility (the </w:t>
      </w:r>
      <w:r>
        <w:rPr>
          <w:rStyle w:val="Emphasis"/>
          <w:rFonts w:ascii="Times New Roman;Times;serif" w:hAnsi="Times New Roman;Times;serif"/>
          <w:sz w:val="20"/>
        </w:rPr>
        <w:t>2026</w:t>
      </w:r>
      <w:r>
        <w:rPr>
          <w:rFonts w:ascii="Times New Roman;Times;serif" w:hAnsi="Times New Roman;Times;serif"/>
          <w:sz w:val="20"/>
        </w:rPr>
        <w:t xml:space="preserve"> Term A Facility). Borrowings under the </w:t>
      </w:r>
      <w:r>
        <w:rPr>
          <w:rStyle w:val="Emphasis"/>
          <w:rFonts w:ascii="Times New Roman;Times;serif" w:hAnsi="Times New Roman;Times;serif"/>
          <w:sz w:val="20"/>
        </w:rPr>
        <w:t>2026</w:t>
      </w:r>
      <w:r>
        <w:rPr>
          <w:rFonts w:ascii="Times New Roman;Times;serif" w:hAnsi="Times New Roman;Times;serif"/>
          <w:sz w:val="20"/>
        </w:rPr>
        <w:t xml:space="preserve"> Term A Facility bear interest at a floating rate based on SOFR (as described in the credit agreement) plus a margin. The </w:t>
      </w:r>
      <w:r>
        <w:rPr>
          <w:rStyle w:val="Emphasis"/>
          <w:rFonts w:ascii="Times New Roman;Times;serif" w:hAnsi="Times New Roman;Times;serif"/>
          <w:sz w:val="20"/>
        </w:rPr>
        <w:t>2026</w:t>
      </w:r>
      <w:r>
        <w:rPr>
          <w:rFonts w:ascii="Times New Roman;Times;serif" w:hAnsi="Times New Roman;Times;serif"/>
          <w:sz w:val="20"/>
        </w:rPr>
        <w:t xml:space="preserve"> Term A Facility matures 364 days from the date of the </w:t>
      </w:r>
      <w:r>
        <w:rPr>
          <w:rStyle w:val="Emphasis"/>
          <w:rFonts w:ascii="Times New Roman;Times;serif" w:hAnsi="Times New Roman;Times;serif"/>
          <w:sz w:val="20"/>
        </w:rPr>
        <w:t>first</w:t>
      </w:r>
      <w:r>
        <w:rPr>
          <w:rFonts w:ascii="Times New Roman;Times;serif" w:hAnsi="Times New Roman;Times;serif"/>
          <w:sz w:val="20"/>
        </w:rPr>
        <w:t xml:space="preserve"> draw. We are required to make quarterly installments on the </w:t>
      </w:r>
      <w:r>
        <w:rPr>
          <w:rStyle w:val="Emphasis"/>
          <w:rFonts w:ascii="Times New Roman;Times;serif" w:hAnsi="Times New Roman;Times;serif"/>
          <w:sz w:val="20"/>
        </w:rPr>
        <w:t>2026</w:t>
      </w:r>
      <w:r>
        <w:rPr>
          <w:rFonts w:ascii="Times New Roman;Times;serif" w:hAnsi="Times New Roman;Times;serif"/>
          <w:sz w:val="20"/>
        </w:rPr>
        <w:t xml:space="preserve"> Term A Facility on the last day of each quarter commencing on </w:t>
      </w:r>
      <w:r>
        <w:rPr>
          <w:rStyle w:val="Emphasis"/>
          <w:rFonts w:ascii="Times New Roman;Times;serif" w:hAnsi="Times New Roman;Times;serif"/>
          <w:sz w:val="20"/>
        </w:rPr>
        <w:t xml:space="preserve">December 31, 2026 </w:t>
      </w:r>
      <w:r>
        <w:rPr>
          <w:rFonts w:ascii="Times New Roman;Times;serif" w:hAnsi="Times New Roman;Times;serif"/>
          <w:sz w:val="20"/>
        </w:rPr>
        <w:t xml:space="preserve">in an amount equal to 10% of the original amount borrowed adjusted for any prepayments. We recorded deferred financing fees of $1 related to the </w:t>
      </w:r>
      <w:r>
        <w:rPr>
          <w:rStyle w:val="Emphasis"/>
          <w:rFonts w:ascii="Times New Roman;Times;serif" w:hAnsi="Times New Roman;Times;serif"/>
          <w:sz w:val="20"/>
        </w:rPr>
        <w:t>2026</w:t>
      </w:r>
      <w:r>
        <w:rPr>
          <w:rFonts w:ascii="Times New Roman;Times;serif" w:hAnsi="Times New Roman;Times;serif"/>
          <w:sz w:val="20"/>
        </w:rPr>
        <w:t xml:space="preserve"> Term A Facility. The deferred financing fees are being amortized over the life of the </w:t>
      </w:r>
      <w:r>
        <w:rPr>
          <w:rStyle w:val="Emphasis"/>
          <w:rFonts w:ascii="Times New Roman;Times;serif" w:hAnsi="Times New Roman;Times;serif"/>
          <w:sz w:val="20"/>
        </w:rPr>
        <w:t>2026</w:t>
      </w:r>
      <w:r>
        <w:rPr>
          <w:rFonts w:ascii="Times New Roman;Times;serif" w:hAnsi="Times New Roman;Times;serif"/>
          <w:sz w:val="20"/>
        </w:rPr>
        <w:t xml:space="preserve"> Term A Facility. On </w:t>
      </w:r>
      <w:r>
        <w:rPr>
          <w:rStyle w:val="Emphasis"/>
          <w:rFonts w:ascii="Times New Roman;Times;serif" w:hAnsi="Times New Roman;Times;serif"/>
          <w:sz w:val="20"/>
        </w:rPr>
        <w:t xml:space="preserve">July 28, 2026, </w:t>
      </w:r>
      <w:r>
        <w:rPr>
          <w:rFonts w:ascii="Times New Roman;Times;serif" w:hAnsi="Times New Roman;Times;serif"/>
          <w:sz w:val="20"/>
        </w:rPr>
        <w:t xml:space="preserve">we fully drew the </w:t>
      </w:r>
      <w:r>
        <w:rPr>
          <w:rStyle w:val="Emphasis"/>
          <w:rFonts w:ascii="Times New Roman;Times;serif" w:hAnsi="Times New Roman;Times;serif"/>
          <w:sz w:val="20"/>
        </w:rPr>
        <w:t>2026</w:t>
      </w:r>
      <w:r>
        <w:rPr>
          <w:rFonts w:ascii="Times New Roman;Times;serif" w:hAnsi="Times New Roman;Times;serif"/>
          <w:sz w:val="20"/>
        </w:rPr>
        <w:t xml:space="preserve"> Term A Facility and used the proceeds to redeem all of our outstanding </w:t>
      </w:r>
      <w:r>
        <w:rPr>
          <w:rStyle w:val="Emphasis"/>
          <w:rFonts w:ascii="Times New Roman;Times;serif" w:hAnsi="Times New Roman;Times;serif"/>
          <w:sz w:val="20"/>
        </w:rPr>
        <w:t xml:space="preserve">July 2031 </w:t>
      </w:r>
      <w:r>
        <w:rPr>
          <w:rFonts w:ascii="Times New Roman;Times;serif" w:hAnsi="Times New Roman;Times;serif"/>
          <w:sz w:val="20"/>
        </w:rPr>
        <w:t>Notes.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Deferred financing costs on our Revolving Facility are included in other noncurrent assets and are being amortized over the life of the Revolving Facility. Each the Revolving Facility and </w:t>
      </w:r>
      <w:r>
        <w:rPr>
          <w:rStyle w:val="Emphasis"/>
          <w:rFonts w:ascii="Times New Roman;Times;serif" w:hAnsi="Times New Roman;Times;serif"/>
          <w:sz w:val="20"/>
        </w:rPr>
        <w:t>2026</w:t>
      </w:r>
      <w:r>
        <w:rPr>
          <w:rFonts w:ascii="Times New Roman;Times;serif" w:hAnsi="Times New Roman;Times;serif"/>
          <w:sz w:val="20"/>
        </w:rPr>
        <w:t xml:space="preserve"> Term A Facility is guaranteed by all of our wholly-owned domestic subsidiaries subject to certain exceptions (the guarantors) and is secured by a </w:t>
      </w:r>
      <w:r>
        <w:rPr>
          <w:rStyle w:val="Emphasis"/>
          <w:rFonts w:ascii="Times New Roman;Times;serif" w:hAnsi="Times New Roman;Times;serif"/>
          <w:sz w:val="20"/>
        </w:rPr>
        <w:t>first</w:t>
      </w:r>
      <w:r>
        <w:rPr>
          <w:rFonts w:ascii="Times New Roman;Times;serif" w:hAnsi="Times New Roman;Times;serif"/>
          <w:sz w:val="20"/>
        </w:rPr>
        <w:t>-priority lien on substantially all of the assets of Dana and the guarantors, subject to certain exceptions.</w:t>
      </w:r>
    </w:p>
    <w:p>
      <w:pPr>
        <w:pStyle w:val="TextBody"/>
        <w:bidi w:val="0"/>
        <w:spacing w:before="0" w:after="0"/>
        <w:ind w:left="0" w:right="0" w:firstLine="36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Advances under the Revolving Facility bear interest at a floating rate based on, at our option, the base rate or the SOFR (each as described in the credit agreement) plus a margin as set forth below:</w:t>
      </w:r>
    </w:p>
    <w:p>
      <w:pPr>
        <w:pStyle w:val="TextBody"/>
        <w:bidi w:val="0"/>
        <w:spacing w:before="0" w:after="0"/>
        <w:ind w:left="0" w:right="0" w:firstLine="360"/>
        <w:jc w:val="left"/>
      </w:pPr>
      <w:r>
        <w:t> </w:t>
      </w:r>
    </w:p>
    <w:tbl>
      <w:tblPr>
        <w:tblW w:w="6878" w:type="dxa"/>
        <w:jc w:val="left"/>
        <w:tblInd w:w="0" w:type="dxa"/>
        <w:tblLayout w:type="fixed"/>
        <w:tblCellMar>
          <w:top w:w="0" w:type="dxa"/>
          <w:left w:w="0" w:type="dxa"/>
          <w:bottom w:w="0" w:type="dxa"/>
          <w:right w:w="0" w:type="dxa"/>
        </w:tblCellMar>
      </w:tblPr>
      <w:tblGrid>
        <w:gridCol w:w="4640"/>
        <w:gridCol w:w="60"/>
        <w:gridCol w:w="113"/>
        <w:gridCol w:w="716"/>
        <w:gridCol w:w="185"/>
        <w:gridCol w:w="60"/>
        <w:gridCol w:w="125"/>
        <w:gridCol w:w="794"/>
        <w:gridCol w:w="185"/>
      </w:tblGrid>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Leverage Ratio</w:t>
            </w:r>
          </w:p>
        </w:tc>
        <w:tc>
          <w:tcPr>
            <w:tcW w:w="60" w:type="dxa"/>
            <w:tcBorders/>
            <w:shd w:fill="FFFFFF" w:val="clear"/>
            <w:vAlign w:val="center"/>
          </w:tcPr>
          <w:p>
            <w:pPr>
              <w:pStyle w:val="TableContents"/>
              <w:bidi w:val="0"/>
              <w:spacing w:before="0" w:after="283"/>
              <w:ind w:left="0" w:right="0" w:hanging="0"/>
              <w:jc w:val="left"/>
            </w:pPr>
            <w: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Base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SOFR 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or equal to 1.00:1.00</w:t>
            </w:r>
          </w:p>
        </w:tc>
        <w:tc>
          <w:tcPr>
            <w:tcW w:w="60" w:type="dxa"/>
            <w:tcBorders/>
            <w:shd w:fill="CCEEFF" w:val="clear"/>
            <w:vAlign w:val="center"/>
          </w:tcPr>
          <w:p>
            <w:pPr>
              <w:pStyle w:val="TableContents"/>
              <w:bidi w:val="0"/>
              <w:spacing w:before="0" w:after="283"/>
              <w:jc w:val="left"/>
            </w:pPr>
            <w:r>
              <w:t> </w:t>
            </w:r>
          </w:p>
        </w:tc>
        <w:tc>
          <w:tcPr>
            <w:tcW w:w="113" w:type="dxa"/>
            <w:tcBorders/>
            <w:shd w:fill="CCEEFF" w:val="clear"/>
            <w:vAlign w:val="center"/>
          </w:tcPr>
          <w:p>
            <w:pPr>
              <w:pStyle w:val="TableContents"/>
              <w:bidi w:val="0"/>
              <w:spacing w:before="0" w:after="283"/>
              <w:ind w:left="0" w:right="0" w:hanging="0"/>
              <w:jc w:val="left"/>
            </w:pPr>
            <w: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1.00:1.00 but less than or equal to 2.00:1.00</w:t>
            </w:r>
          </w:p>
        </w:tc>
        <w:tc>
          <w:tcPr>
            <w:tcW w:w="60" w:type="dxa"/>
            <w:tcBorders/>
            <w:shd w:fill="FFFFFF" w:val="clear"/>
            <w:vAlign w:val="center"/>
          </w:tcPr>
          <w:p>
            <w:pPr>
              <w:pStyle w:val="TableContents"/>
              <w:bidi w:val="0"/>
              <w:spacing w:before="0" w:after="283"/>
              <w:jc w:val="left"/>
            </w:pPr>
            <w:r>
              <w:t> </w:t>
            </w:r>
          </w:p>
        </w:tc>
        <w:tc>
          <w:tcPr>
            <w:tcW w:w="113" w:type="dxa"/>
            <w:tcBorders/>
            <w:shd w:fill="FFFFFF" w:val="clear"/>
            <w:vAlign w:val="center"/>
          </w:tcPr>
          <w:p>
            <w:pPr>
              <w:pStyle w:val="TableContents"/>
              <w:bidi w:val="0"/>
              <w:spacing w:before="0" w:after="283"/>
              <w:ind w:left="0" w:right="0" w:hanging="0"/>
              <w:jc w:val="left"/>
            </w:pPr>
            <w: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2.00:1.00</w:t>
            </w:r>
          </w:p>
        </w:tc>
        <w:tc>
          <w:tcPr>
            <w:tcW w:w="60" w:type="dxa"/>
            <w:tcBorders/>
            <w:shd w:fill="CCEEFF" w:val="clear"/>
            <w:vAlign w:val="center"/>
          </w:tcPr>
          <w:p>
            <w:pPr>
              <w:pStyle w:val="TableContents"/>
              <w:bidi w:val="0"/>
              <w:spacing w:before="0" w:after="283"/>
              <w:jc w:val="left"/>
            </w:pPr>
            <w:r>
              <w:t> </w:t>
            </w:r>
          </w:p>
        </w:tc>
        <w:tc>
          <w:tcPr>
            <w:tcW w:w="113" w:type="dxa"/>
            <w:tcBorders/>
            <w:shd w:fill="CCEEFF" w:val="clear"/>
            <w:vAlign w:val="center"/>
          </w:tcPr>
          <w:p>
            <w:pPr>
              <w:pStyle w:val="TableContents"/>
              <w:bidi w:val="0"/>
              <w:spacing w:before="0" w:after="283"/>
              <w:ind w:left="0" w:right="0" w:hanging="0"/>
              <w:jc w:val="left"/>
            </w:pPr>
            <w: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pPr>
      <w:r>
        <w:t> </w:t>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Commitment fees are applied based on the average daily unused portion of the available amounts under the Revolving Facility as set forth below:</w:t>
      </w:r>
    </w:p>
    <w:p>
      <w:pPr>
        <w:pStyle w:val="TextBody"/>
        <w:bidi w:val="0"/>
        <w:spacing w:before="0" w:after="0"/>
        <w:ind w:left="0" w:right="0" w:hanging="0"/>
        <w:jc w:val="left"/>
      </w:pPr>
      <w:r>
        <w:t> </w:t>
      </w:r>
    </w:p>
    <w:tbl>
      <w:tblPr>
        <w:tblW w:w="6269" w:type="dxa"/>
        <w:jc w:val="left"/>
        <w:tblInd w:w="0" w:type="dxa"/>
        <w:tblLayout w:type="fixed"/>
        <w:tblCellMar>
          <w:top w:w="0" w:type="dxa"/>
          <w:left w:w="0" w:type="dxa"/>
          <w:bottom w:w="28" w:type="dxa"/>
          <w:right w:w="0" w:type="dxa"/>
        </w:tblCellMar>
      </w:tblPr>
      <w:tblGrid>
        <w:gridCol w:w="4640"/>
        <w:gridCol w:w="60"/>
        <w:gridCol w:w="151"/>
        <w:gridCol w:w="1233"/>
        <w:gridCol w:w="185"/>
      </w:tblGrid>
      <w:tr>
        <w:tc>
          <w:tcPr>
            <w:tcW w:w="4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Leverage Ratio</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84" w:type="dxa"/>
            <w:gridSpan w:val="2"/>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Commitment Fee</w:t>
            </w:r>
          </w:p>
        </w:tc>
        <w:tc>
          <w:tcPr>
            <w:tcW w:w="185" w:type="dxa"/>
            <w:tcBorders>
              <w:bottom w:val="single" w:sz="2" w:space="0" w:color="000000"/>
            </w:tcBorders>
            <w:shd w:fill="FFFFFF" w:val="clear"/>
            <w:vAlign w:val="center"/>
          </w:tcPr>
          <w:p>
            <w:pPr>
              <w:pStyle w:val="TableContents"/>
              <w:bidi w:val="0"/>
              <w:spacing w:before="0" w:after="283"/>
              <w:jc w:val="left"/>
            </w:pPr>
            <w:r>
              <w:t> </w:t>
            </w:r>
          </w:p>
        </w:tc>
      </w:tr>
      <w:t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or equal to 1.00:1.00</w:t>
            </w:r>
          </w:p>
        </w:tc>
        <w:tc>
          <w:tcPr>
            <w:tcW w:w="60" w:type="dxa"/>
            <w:tcBorders/>
            <w:shd w:fill="CCEEFF" w:val="clear"/>
            <w:tcMar>
              <w:bottom w:w="0" w:type="dxa"/>
            </w:tcMar>
            <w:vAlign w:val="center"/>
          </w:tcPr>
          <w:p>
            <w:pPr>
              <w:pStyle w:val="TableContents"/>
              <w:bidi w:val="0"/>
              <w:spacing w:before="0" w:after="283"/>
              <w:jc w:val="left"/>
            </w:pPr>
            <w:r>
              <w:t> </w:t>
            </w:r>
          </w:p>
        </w:tc>
        <w:tc>
          <w:tcPr>
            <w:tcW w:w="151" w:type="dxa"/>
            <w:tcBorders/>
            <w:shd w:fill="CCEEFF" w:val="clear"/>
            <w:tcMar>
              <w:bottom w:w="0" w:type="dxa"/>
            </w:tcMar>
            <w:vAlign w:val="center"/>
          </w:tcPr>
          <w:p>
            <w:pPr>
              <w:pStyle w:val="TableContents"/>
              <w:bidi w:val="0"/>
              <w:spacing w:before="0" w:after="283"/>
              <w:ind w:left="0" w:right="0" w:hanging="0"/>
              <w:jc w:val="left"/>
            </w:pPr>
            <w:r>
              <w:t> </w:t>
            </w:r>
          </w:p>
        </w:tc>
        <w:tc>
          <w:tcPr>
            <w:tcW w:w="12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1.00:1.00 but less than or equal to 2.00:1.00</w:t>
            </w:r>
          </w:p>
        </w:tc>
        <w:tc>
          <w:tcPr>
            <w:tcW w:w="60" w:type="dxa"/>
            <w:tcBorders/>
            <w:shd w:fill="FFFFFF" w:val="clear"/>
            <w:tcMar>
              <w:bottom w:w="0" w:type="dxa"/>
            </w:tcMar>
            <w:vAlign w:val="center"/>
          </w:tcPr>
          <w:p>
            <w:pPr>
              <w:pStyle w:val="TableContents"/>
              <w:bidi w:val="0"/>
              <w:spacing w:before="0" w:after="283"/>
              <w:jc w:val="left"/>
            </w:pPr>
            <w:r>
              <w:t> </w:t>
            </w:r>
          </w:p>
        </w:tc>
        <w:tc>
          <w:tcPr>
            <w:tcW w:w="151" w:type="dxa"/>
            <w:tcBorders/>
            <w:shd w:fill="FFFFFF" w:val="clear"/>
            <w:tcMar>
              <w:bottom w:w="0" w:type="dxa"/>
            </w:tcMar>
            <w:vAlign w:val="center"/>
          </w:tcPr>
          <w:p>
            <w:pPr>
              <w:pStyle w:val="TableContents"/>
              <w:bidi w:val="0"/>
              <w:spacing w:before="0" w:after="283"/>
              <w:ind w:left="0" w:right="0" w:hanging="0"/>
              <w:jc w:val="left"/>
            </w:pPr>
            <w:r>
              <w:t> </w:t>
            </w:r>
          </w:p>
        </w:tc>
        <w:tc>
          <w:tcPr>
            <w:tcW w:w="12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2.00:1.00</w:t>
            </w:r>
          </w:p>
        </w:tc>
        <w:tc>
          <w:tcPr>
            <w:tcW w:w="60" w:type="dxa"/>
            <w:tcBorders/>
            <w:shd w:fill="CCEEFF" w:val="clear"/>
            <w:tcMar>
              <w:bottom w:w="0" w:type="dxa"/>
            </w:tcMar>
            <w:vAlign w:val="center"/>
          </w:tcPr>
          <w:p>
            <w:pPr>
              <w:pStyle w:val="TableContents"/>
              <w:bidi w:val="0"/>
              <w:spacing w:before="0" w:after="283"/>
              <w:jc w:val="left"/>
            </w:pPr>
            <w:r>
              <w:t> </w:t>
            </w:r>
          </w:p>
        </w:tc>
        <w:tc>
          <w:tcPr>
            <w:tcW w:w="151" w:type="dxa"/>
            <w:tcBorders/>
            <w:shd w:fill="CCEEFF" w:val="clear"/>
            <w:tcMar>
              <w:bottom w:w="0" w:type="dxa"/>
            </w:tcMar>
            <w:vAlign w:val="center"/>
          </w:tcPr>
          <w:p>
            <w:pPr>
              <w:pStyle w:val="TableContents"/>
              <w:bidi w:val="0"/>
              <w:spacing w:before="0" w:after="283"/>
              <w:ind w:left="0" w:right="0" w:hanging="0"/>
              <w:jc w:val="left"/>
            </w:pPr>
            <w:r>
              <w:t> </w:t>
            </w:r>
          </w:p>
        </w:tc>
        <w:tc>
          <w:tcPr>
            <w:tcW w:w="12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Up to $275 of the Revolving Facility </w:t>
      </w:r>
      <w:r>
        <w:rPr>
          <w:rStyle w:val="Emphasis"/>
          <w:rFonts w:ascii="Times New Roman;Times;serif" w:hAnsi="Times New Roman;Times;serif"/>
          <w:sz w:val="20"/>
        </w:rPr>
        <w:t xml:space="preserve">may </w:t>
      </w:r>
      <w:r>
        <w:rPr>
          <w:rFonts w:ascii="Times New Roman;Times;serif" w:hAnsi="Times New Roman;Times;serif"/>
          <w:sz w:val="20"/>
        </w:rPr>
        <w:t>be applied to letters of credit, which reduces availability. We pay a fee for issued and undrawn letters of credit in an amount per annum equal to the applicable margin for SOFR rate advances based on a quarterly average availability under issued and undrawn letters of credit under the Revolving Facility and a per annum fronting fee of 0.125%, payable quarterly.</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left"/>
      </w:pPr>
      <w:r>
        <w:rPr>
          <w:rFonts w:ascii="Times New Roman;Times;serif" w:hAnsi="Times New Roman;Times;serif"/>
          <w:sz w:val="20"/>
        </w:rPr>
        <w:t>At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there were $210 of outstanding borrowings under the Revolving Facility and we had utilized $10 for letters of credit. We had availability at </w:t>
      </w:r>
      <w:r>
        <w:rPr>
          <w:rStyle w:val="Emphasis"/>
          <w:rFonts w:ascii="Times New Roman;Times;serif" w:hAnsi="Times New Roman;Times;serif"/>
          <w:sz w:val="20"/>
        </w:rPr>
        <w:t>September 30, 2026</w:t>
      </w:r>
      <w:r>
        <w:rPr>
          <w:rFonts w:ascii="Times New Roman;Times;serif" w:hAnsi="Times New Roman;Times;serif"/>
          <w:sz w:val="20"/>
        </w:rPr>
        <w:t xml:space="preserve"> under the Revolving Facility of $930 after deducting outstanding borrowings and letters of credit.</w:t>
      </w:r>
    </w:p>
    <w:p>
      <w:pPr>
        <w:pStyle w:val="TextBody"/>
        <w:bidi w:val="0"/>
        <w:spacing w:before="0" w:after="0"/>
        <w:ind w:left="0" w:right="0" w:firstLine="360"/>
        <w:jc w:val="left"/>
      </w:pPr>
      <w:r>
        <w:t> </w:t>
      </w:r>
    </w:p>
    <w:p>
      <w:pPr>
        <w:pStyle w:val="TextBody"/>
        <w:bidi w:val="0"/>
        <w:spacing w:before="0" w:after="0"/>
        <w:ind w:left="0" w:right="0" w:hanging="0"/>
        <w:jc w:val="left"/>
      </w:pPr>
      <w:r>
        <w:rPr>
          <w:rFonts w:ascii="Times New Roman;Times;serif" w:hAnsi="Times New Roman;Times;serif"/>
          <w:i/>
          <w:sz w:val="20"/>
        </w:rPr>
        <w:t>Debt covenants</w:t>
      </w:r>
      <w:r>
        <w:rPr>
          <w:rFonts w:ascii="Times New Roman;Times;serif" w:hAnsi="Times New Roman;Times;serif"/>
          <w:sz w:val="20"/>
        </w:rPr>
        <w:t xml:space="preserve"> — At </w:t>
      </w:r>
      <w:r>
        <w:rPr>
          <w:rStyle w:val="Emphasis"/>
          <w:rFonts w:ascii="Times New Roman;Times;serif" w:hAnsi="Times New Roman;Times;serif"/>
          <w:sz w:val="20"/>
        </w:rPr>
        <w:t>September 30, 2026</w:t>
      </w:r>
      <w:r>
        <w:rPr>
          <w:rFonts w:ascii="Times New Roman;Times;serif" w:hAnsi="Times New Roman;Times;serif"/>
          <w:sz w:val="20"/>
        </w:rPr>
        <w:t xml:space="preserve">, we were in compliance with the covenants of our financing agreements. Under the Revolving Facility and the senior notes, we are required to comply with certain incurrence-based covenants customary for facilities of these types and, in the case of the Revolving Facility, a maintenance covenant tested on the last day of each fiscal quarter requiring us to maintain a </w:t>
      </w:r>
      <w:r>
        <w:rPr>
          <w:rStyle w:val="Emphasis"/>
          <w:rFonts w:ascii="Times New Roman;Times;serif" w:hAnsi="Times New Roman;Times;serif"/>
          <w:sz w:val="20"/>
        </w:rPr>
        <w:t>first</w:t>
      </w:r>
      <w:r>
        <w:rPr>
          <w:rFonts w:ascii="Times New Roman;Times;serif" w:hAnsi="Times New Roman;Times;serif"/>
          <w:sz w:val="20"/>
        </w:rPr>
        <w:t xml:space="preserve"> lien net leverage ratio </w:t>
      </w:r>
      <w:r>
        <w:rPr>
          <w:rStyle w:val="Emphasis"/>
          <w:rFonts w:ascii="Times New Roman;Times;serif" w:hAnsi="Times New Roman;Times;serif"/>
          <w:sz w:val="20"/>
        </w:rPr>
        <w:t>not</w:t>
      </w:r>
      <w:r>
        <w:rPr>
          <w:rFonts w:ascii="Times New Roman;Times;serif" w:hAnsi="Times New Roman;Times;serif"/>
          <w:sz w:val="20"/>
        </w:rPr>
        <w:t xml:space="preserve"> to exceed 2.00 to </w:t>
      </w:r>
      <w:r>
        <w:rPr>
          <w:rStyle w:val="Emphasis"/>
          <w:rFonts w:ascii="Times New Roman;Times;serif" w:hAnsi="Times New Roman;Times;serif"/>
          <w:sz w:val="20"/>
        </w:rPr>
        <w:t>1.00.</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Other Financing Activities</w:t>
      </w:r>
      <w:r>
        <w:rPr>
          <w:rFonts w:ascii="Times New Roman;Times;serif" w:hAnsi="Times New Roman;Times;serif"/>
          <w:sz w:val="20"/>
        </w:rPr>
        <w:t xml:space="preserve"> — On </w:t>
      </w:r>
      <w:r>
        <w:rPr>
          <w:rStyle w:val="Emphasis"/>
          <w:rFonts w:ascii="Times New Roman;Times;serif" w:hAnsi="Times New Roman;Times;serif"/>
          <w:sz w:val="20"/>
        </w:rPr>
        <w:t xml:space="preserve">June 10, 2026, </w:t>
      </w:r>
      <w:r>
        <w:rPr>
          <w:rFonts w:ascii="Times New Roman;Times;serif" w:hAnsi="Times New Roman;Times;serif"/>
          <w:sz w:val="20"/>
        </w:rPr>
        <w:t xml:space="preserve">we became a party to a $2,600 bridge facility (the Bridge Facility). The Bridge Facility serves as a backstop to certain contemplated financing transactions associated with Dana's intended acquisition of Eaton's Mobility business. See Note </w:t>
      </w:r>
      <w:r>
        <w:rPr>
          <w:rStyle w:val="Emphasis"/>
          <w:rFonts w:ascii="Times New Roman;Times;serif" w:hAnsi="Times New Roman;Times;serif"/>
          <w:sz w:val="20"/>
        </w:rPr>
        <w:t>1</w:t>
      </w:r>
      <w:r>
        <w:rPr>
          <w:rFonts w:ascii="Times New Roman;Times;serif" w:hAnsi="Times New Roman;Times;serif"/>
          <w:sz w:val="20"/>
        </w:rPr>
        <w:t xml:space="preserve"> for additional information. The Bridge Facility </w:t>
      </w:r>
      <w:r>
        <w:rPr>
          <w:rStyle w:val="Emphasis"/>
          <w:rFonts w:ascii="Times New Roman;Times;serif" w:hAnsi="Times New Roman;Times;serif"/>
          <w:sz w:val="20"/>
        </w:rPr>
        <w:t xml:space="preserve">may </w:t>
      </w:r>
      <w:r>
        <w:rPr>
          <w:rFonts w:ascii="Times New Roman;Times;serif" w:hAnsi="Times New Roman;Times;serif"/>
          <w:sz w:val="20"/>
        </w:rPr>
        <w:t xml:space="preserve">be drawn upon only if the acquisition transaction closes. Availability under the Bridge Facility is subject to reduction to the extent contemplated financing transactions are completed prior to the acquisition transaction closing. We recorded initial deferred commitment fees of $17 related to the Bridge Facility. The deferred commitment fees are included in other current assets and are being amortized to other income (expense), net over the Bridge Facility's 15-month commitment period. On </w:t>
      </w:r>
      <w:r>
        <w:rPr>
          <w:rStyle w:val="Emphasis"/>
          <w:rFonts w:ascii="Times New Roman;Times;serif" w:hAnsi="Times New Roman;Times;serif"/>
          <w:sz w:val="20"/>
        </w:rPr>
        <w:t xml:space="preserve">July 2, 2026, </w:t>
      </w:r>
      <w:r>
        <w:rPr>
          <w:rFonts w:ascii="Times New Roman;Times;serif" w:hAnsi="Times New Roman;Times;serif"/>
          <w:sz w:val="20"/>
        </w:rPr>
        <w:t xml:space="preserve">we became a party to a $350 secured term loan A (the Term Loan A) commitment and a $1,200 secured revolving credit facility (the Revolving Credit Facility) commitment. The Term Loan A commitment and the Revolving Credit Facility commitment are associated with Dana's intended acquisition of Eaton's Mobility business. </w:t>
      </w:r>
      <w:r>
        <w:rPr>
          <w:rStyle w:val="Emphasis"/>
          <w:rFonts w:ascii="Times New Roman;Times;serif" w:hAnsi="Times New Roman;Times;serif"/>
          <w:sz w:val="20"/>
        </w:rPr>
        <w:t>No</w:t>
      </w:r>
      <w:r>
        <w:rPr>
          <w:rFonts w:ascii="Times New Roman;Times;serif" w:hAnsi="Times New Roman;Times;serif"/>
          <w:sz w:val="20"/>
        </w:rPr>
        <w:t xml:space="preserve"> amounts are available to be drawn under the Term Loan A or Revolving Credit Facility prior to the acquisition transaction closing. The Term Loan A commitment reduced availability under the Bridge Facility from $2,600 to $2,250. During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wrote off $2 of deferred commitment fees associated with the $350 reduction in availability under the Bridge Facility to other income (expense), net.</w:t>
      </w:r>
    </w:p>
    <w:p>
      <w:pPr>
        <w:pStyle w:val="TextBody"/>
        <w:bidi w:val="0"/>
        <w:spacing w:before="0" w:after="283"/>
        <w:jc w:val="left"/>
      </w:pPr>
      <w:r>
        <w:t xml:space="preserve">  </w:t>
      </w:r>
    </w:p>
    <w:p>
      <w:pPr>
        <w:pStyle w:val="TextBody"/>
        <w:bidi w:val="0"/>
        <w:spacing w:before="0" w:after="0"/>
        <w:ind w:left="0" w:right="0" w:hanging="0"/>
        <w:jc w:val="left"/>
      </w:pPr>
      <w:bookmarkStart w:id="18" w:name="fn12"/>
      <w:bookmarkEnd w:id="18"/>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xml:space="preserve"> Fair Value Measurements and Derivatives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measuring the fair value of our assets and liabilities, we use market data or assumptions that we believe market participants would use in pricing an asset or liability including assumptions about risk when appropriate. Our valuation techniques include a combination of observable and unobservable inputs.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measurements on a recurring basis</w:t>
      </w:r>
      <w:r>
        <w:rPr>
          <w:rFonts w:ascii="Times New Roman;Times;serif" w:hAnsi="Times New Roman;Times;serif"/>
          <w:sz w:val="20"/>
        </w:rPr>
        <w:t xml:space="preserve"> — Assets and liabilities that are carried in our balance sheets at fair value are as follows:</w:t>
      </w:r>
    </w:p>
    <w:p>
      <w:pPr>
        <w:pStyle w:val="TextBody"/>
        <w:bidi w:val="0"/>
        <w:spacing w:before="0" w:after="0"/>
        <w:ind w:left="0" w:right="0" w:hanging="0"/>
        <w:jc w:val="left"/>
      </w:pPr>
      <w:r>
        <w:t> </w:t>
      </w:r>
    </w:p>
    <w:tbl>
      <w:tblPr>
        <w:tblW w:w="9543" w:type="dxa"/>
        <w:jc w:val="left"/>
        <w:tblInd w:w="0" w:type="dxa"/>
        <w:tblLayout w:type="fixed"/>
        <w:tblCellMar>
          <w:top w:w="0" w:type="dxa"/>
          <w:left w:w="0" w:type="dxa"/>
          <w:bottom w:w="0" w:type="dxa"/>
          <w:right w:w="0" w:type="dxa"/>
        </w:tblCellMar>
      </w:tblPr>
      <w:tblGrid>
        <w:gridCol w:w="2210"/>
        <w:gridCol w:w="60"/>
        <w:gridCol w:w="2285"/>
        <w:gridCol w:w="60"/>
        <w:gridCol w:w="1385"/>
        <w:gridCol w:w="60"/>
        <w:gridCol w:w="60"/>
        <w:gridCol w:w="577"/>
        <w:gridCol w:w="1062"/>
        <w:gridCol w:w="65"/>
        <w:gridCol w:w="65"/>
        <w:gridCol w:w="561"/>
        <w:gridCol w:w="1033"/>
        <w:gridCol w:w="60"/>
      </w:tblGrid>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285"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363"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Category</w:t>
            </w:r>
          </w:p>
        </w:tc>
        <w:tc>
          <w:tcPr>
            <w:tcW w:w="60" w:type="dxa"/>
            <w:tcBorders/>
            <w:shd w:fill="FFFFFF" w:val="clear"/>
            <w:vAlign w:val="center"/>
          </w:tcPr>
          <w:p>
            <w:pPr>
              <w:pStyle w:val="TableContents"/>
              <w:bidi w:val="0"/>
              <w:spacing w:before="0" w:after="283"/>
              <w:ind w:left="0" w:right="0" w:hanging="0"/>
              <w:jc w:val="center"/>
            </w:pPr>
            <w:r>
              <w:t> </w:t>
            </w:r>
          </w:p>
        </w:tc>
        <w:tc>
          <w:tcPr>
            <w:tcW w:w="22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Balance Sheet Location</w:t>
            </w:r>
          </w:p>
        </w:tc>
        <w:tc>
          <w:tcPr>
            <w:tcW w:w="60" w:type="dxa"/>
            <w:tcBorders/>
            <w:shd w:fill="FFFFFF" w:val="clear"/>
            <w:vAlign w:val="center"/>
          </w:tcPr>
          <w:p>
            <w:pPr>
              <w:pStyle w:val="TableContents"/>
              <w:bidi w:val="0"/>
              <w:spacing w:before="0" w:after="283"/>
              <w:ind w:left="0" w:right="0" w:hanging="0"/>
              <w:jc w:val="left"/>
            </w:pPr>
            <w:r>
              <w:t> </w:t>
            </w:r>
          </w:p>
        </w:tc>
        <w:tc>
          <w:tcPr>
            <w:tcW w:w="13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Fair Value Level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color w:val="000000"/>
                <w:sz w:val="20"/>
              </w:rPr>
              <w:t>September 30, 2026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color w:val="000000"/>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forward contracts</w:t>
            </w:r>
          </w:p>
        </w:tc>
        <w:tc>
          <w:tcPr>
            <w:tcW w:w="60" w:type="dxa"/>
            <w:tcBorders/>
            <w:shd w:fill="CCEEFF" w:val="clear"/>
            <w:vAlign w:val="center"/>
          </w:tcPr>
          <w:p>
            <w:pPr>
              <w:pStyle w:val="TableContents"/>
              <w:bidi w:val="0"/>
              <w:spacing w:before="0" w:after="283"/>
              <w:jc w:val="left"/>
            </w:pPr>
            <w:r>
              <w:t> </w:t>
            </w:r>
          </w:p>
        </w:tc>
        <w:tc>
          <w:tcPr>
            <w:tcW w:w="22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center"/>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77" w:type="dxa"/>
            <w:tcBorders/>
            <w:shd w:fill="CCEEFF" w:val="clear"/>
            <w:vAlign w:val="center"/>
          </w:tcPr>
          <w:p>
            <w:pPr>
              <w:pStyle w:val="TableContents"/>
              <w:bidi w:val="0"/>
              <w:spacing w:before="0" w:after="283"/>
              <w:jc w:val="left"/>
            </w:pPr>
            <w:r>
              <w:t> </w:t>
            </w:r>
          </w:p>
        </w:tc>
        <w:tc>
          <w:tcPr>
            <w:tcW w:w="1062" w:type="dxa"/>
            <w:tcBorders/>
            <w:shd w:fill="CCEEFF" w:val="clear"/>
            <w:vAlign w:val="center"/>
          </w:tcPr>
          <w:p>
            <w:pPr>
              <w:pStyle w:val="TableContents"/>
              <w:bidi w:val="0"/>
              <w:spacing w:before="0" w:after="283"/>
              <w:ind w:left="0" w:right="0" w:hanging="0"/>
              <w:jc w:val="right"/>
            </w:pPr>
            <w:r>
              <w:t> </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561"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ind w:left="0" w:right="0" w:hanging="0"/>
              <w:jc w:val="right"/>
            </w:pPr>
            <w:r>
              <w:t> </w:t>
            </w:r>
          </w:p>
        </w:tc>
        <w:tc>
          <w:tcPr>
            <w:tcW w:w="60"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FFFFFF" w:val="clear"/>
            <w:vAlign w:val="center"/>
          </w:tcPr>
          <w:p>
            <w:pPr>
              <w:pStyle w:val="TableContents"/>
              <w:bidi w:val="0"/>
              <w:spacing w:before="0" w:after="283"/>
              <w:jc w:val="center"/>
            </w:pPr>
            <w:r>
              <w:t> </w:t>
            </w:r>
          </w:p>
        </w:tc>
        <w:tc>
          <w:tcPr>
            <w:tcW w:w="228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Accounts receivable - Other</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56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CCEEFF" w:val="clear"/>
            <w:vAlign w:val="center"/>
          </w:tcPr>
          <w:p>
            <w:pPr>
              <w:pStyle w:val="TableContents"/>
              <w:bidi w:val="0"/>
              <w:spacing w:before="0" w:after="283"/>
              <w:jc w:val="center"/>
            </w:pPr>
            <w:r>
              <w:t> </w:t>
            </w:r>
          </w:p>
        </w:tc>
        <w:tc>
          <w:tcPr>
            <w:tcW w:w="2285"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Other accrued liabilities</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77" w:type="dxa"/>
            <w:tcBorders/>
            <w:shd w:fill="CCEEFF" w:val="clear"/>
            <w:vAlign w:val="center"/>
          </w:tcPr>
          <w:p>
            <w:pPr>
              <w:pStyle w:val="TableContents"/>
              <w:bidi w:val="0"/>
              <w:spacing w:before="0" w:after="283"/>
              <w:jc w:val="left"/>
            </w:pPr>
            <w:r>
              <w:t> </w:t>
            </w:r>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561"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FFFFFF" w:val="clear"/>
            <w:vAlign w:val="center"/>
          </w:tcPr>
          <w:p>
            <w:pPr>
              <w:pStyle w:val="TableContents"/>
              <w:bidi w:val="0"/>
              <w:spacing w:before="0" w:after="283"/>
              <w:jc w:val="center"/>
            </w:pPr>
            <w:r>
              <w:t> </w:t>
            </w:r>
          </w:p>
        </w:tc>
        <w:tc>
          <w:tcPr>
            <w:tcW w:w="228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Accounts receivable - Other</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77" w:type="dxa"/>
            <w:tcBorders/>
            <w:shd w:fill="FFFFFF" w:val="clear"/>
            <w:vAlign w:val="center"/>
          </w:tcPr>
          <w:p>
            <w:pPr>
              <w:pStyle w:val="TableContents"/>
              <w:bidi w:val="0"/>
              <w:spacing w:before="0" w:after="283"/>
              <w:jc w:val="left"/>
            </w:pPr>
            <w:r>
              <w:t> </w:t>
            </w:r>
          </w:p>
        </w:tc>
        <w:tc>
          <w:tcPr>
            <w:tcW w:w="10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561"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CCEEFF" w:val="clear"/>
            <w:vAlign w:val="center"/>
          </w:tcPr>
          <w:p>
            <w:pPr>
              <w:pStyle w:val="TableContents"/>
              <w:bidi w:val="0"/>
              <w:spacing w:before="0" w:after="283"/>
              <w:jc w:val="center"/>
            </w:pPr>
            <w:r>
              <w:t> </w:t>
            </w:r>
          </w:p>
        </w:tc>
        <w:tc>
          <w:tcPr>
            <w:tcW w:w="2285"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Other accrued liabilities</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77" w:type="dxa"/>
            <w:tcBorders/>
            <w:shd w:fill="CCEEFF" w:val="clear"/>
            <w:vAlign w:val="center"/>
          </w:tcPr>
          <w:p>
            <w:pPr>
              <w:pStyle w:val="TableContents"/>
              <w:bidi w:val="0"/>
              <w:spacing w:before="0" w:after="283"/>
              <w:jc w:val="left"/>
            </w:pPr>
            <w:r>
              <w:t> </w:t>
            </w:r>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561"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swaps</w:t>
            </w:r>
          </w:p>
        </w:tc>
        <w:tc>
          <w:tcPr>
            <w:tcW w:w="60" w:type="dxa"/>
            <w:tcBorders/>
            <w:shd w:fill="FFFFFF" w:val="clear"/>
            <w:vAlign w:val="center"/>
          </w:tcPr>
          <w:p>
            <w:pPr>
              <w:pStyle w:val="TableContents"/>
              <w:bidi w:val="0"/>
              <w:spacing w:before="0" w:after="283"/>
              <w:jc w:val="left"/>
            </w:pPr>
            <w:r>
              <w:t> </w:t>
            </w:r>
          </w:p>
        </w:tc>
        <w:tc>
          <w:tcPr>
            <w:tcW w:w="22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77" w:type="dxa"/>
            <w:tcBorders/>
            <w:shd w:fill="FFFFFF" w:val="clear"/>
            <w:vAlign w:val="center"/>
          </w:tcPr>
          <w:p>
            <w:pPr>
              <w:pStyle w:val="TableContents"/>
              <w:bidi w:val="0"/>
              <w:spacing w:before="0" w:after="283"/>
              <w:jc w:val="left"/>
            </w:pPr>
            <w:r>
              <w:t> </w:t>
            </w:r>
          </w:p>
        </w:tc>
        <w:tc>
          <w:tcPr>
            <w:tcW w:w="1062" w:type="dxa"/>
            <w:tcBorders/>
            <w:shd w:fill="FFFFFF" w:val="clear"/>
            <w:vAlign w:val="center"/>
          </w:tcPr>
          <w:p>
            <w:pPr>
              <w:pStyle w:val="TableContents"/>
              <w:bidi w:val="0"/>
              <w:spacing w:before="0" w:after="283"/>
              <w:ind w:left="0" w:right="0" w:hanging="0"/>
              <w:jc w:val="right"/>
            </w:pPr>
            <w: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561"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ind w:left="0" w:right="0" w:hanging="0"/>
              <w:jc w:val="right"/>
            </w:pPr>
            <w:r>
              <w:t> </w:t>
            </w:r>
          </w:p>
        </w:tc>
        <w:tc>
          <w:tcPr>
            <w:tcW w:w="60" w:type="dxa"/>
            <w:tcBorders/>
            <w:shd w:fill="FFFFFF" w:val="cle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flow hedges</w:t>
            </w:r>
          </w:p>
        </w:tc>
        <w:tc>
          <w:tcPr>
            <w:tcW w:w="60" w:type="dxa"/>
            <w:tcBorders/>
            <w:shd w:fill="CCEEFF" w:val="clear"/>
            <w:vAlign w:val="center"/>
          </w:tcPr>
          <w:p>
            <w:pPr>
              <w:pStyle w:val="TableContents"/>
              <w:bidi w:val="0"/>
              <w:spacing w:before="0" w:after="283"/>
              <w:jc w:val="center"/>
            </w:pPr>
            <w:r>
              <w:t> </w:t>
            </w:r>
          </w:p>
        </w:tc>
        <w:tc>
          <w:tcPr>
            <w:tcW w:w="2285"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Other noncurrent liabilities</w:t>
            </w:r>
          </w:p>
        </w:tc>
        <w:tc>
          <w:tcPr>
            <w:tcW w:w="60" w:type="dxa"/>
            <w:tcBorders/>
            <w:shd w:fill="CCEEFF" w:val="clear"/>
            <w:vAlign w:val="center"/>
          </w:tcPr>
          <w:p>
            <w:pPr>
              <w:pStyle w:val="TableContents"/>
              <w:bidi w:val="0"/>
              <w:spacing w:before="0" w:after="283"/>
              <w:jc w:val="left"/>
            </w:pPr>
            <w:r>
              <w:t> </w:t>
            </w:r>
          </w:p>
        </w:tc>
        <w:tc>
          <w:tcPr>
            <w:tcW w:w="1385" w:type="dxa"/>
            <w:tcBorders/>
            <w:shd w:fill="CCEE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77" w:type="dxa"/>
            <w:tcBorders/>
            <w:shd w:fill="CCEEFF" w:val="clear"/>
            <w:vAlign w:val="center"/>
          </w:tcPr>
          <w:p>
            <w:pPr>
              <w:pStyle w:val="TableContents"/>
              <w:bidi w:val="0"/>
              <w:spacing w:before="0" w:after="283"/>
              <w:jc w:val="left"/>
            </w:pPr>
            <w:r>
              <w:t> </w:t>
            </w:r>
          </w:p>
        </w:tc>
        <w:tc>
          <w:tcPr>
            <w:tcW w:w="10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561" w:type="dxa"/>
            <w:tcBorders/>
            <w:shd w:fill="CCEEFF" w:val="clear"/>
            <w:vAlign w:val="center"/>
          </w:tcPr>
          <w:p>
            <w:pPr>
              <w:pStyle w:val="TableContents"/>
              <w:bidi w:val="0"/>
              <w:spacing w:before="0" w:after="283"/>
              <w:jc w:val="left"/>
            </w:pPr>
            <w:r>
              <w:t> </w:t>
            </w:r>
          </w:p>
        </w:tc>
        <w:tc>
          <w:tcPr>
            <w:tcW w:w="10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Undesignated</w:t>
            </w:r>
          </w:p>
        </w:tc>
        <w:tc>
          <w:tcPr>
            <w:tcW w:w="60" w:type="dxa"/>
            <w:tcBorders/>
            <w:shd w:fill="FFFFFF" w:val="clear"/>
            <w:vAlign w:val="center"/>
          </w:tcPr>
          <w:p>
            <w:pPr>
              <w:pStyle w:val="TableContents"/>
              <w:bidi w:val="0"/>
              <w:spacing w:before="0" w:after="283"/>
              <w:jc w:val="center"/>
            </w:pPr>
            <w:r>
              <w:t> </w:t>
            </w:r>
          </w:p>
        </w:tc>
        <w:tc>
          <w:tcPr>
            <w:tcW w:w="228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Other noncurrent liabilities</w:t>
            </w:r>
          </w:p>
        </w:tc>
        <w:tc>
          <w:tcPr>
            <w:tcW w:w="60" w:type="dxa"/>
            <w:tcBorders/>
            <w:shd w:fill="FFFFFF" w:val="clear"/>
            <w:vAlign w:val="center"/>
          </w:tcPr>
          <w:p>
            <w:pPr>
              <w:pStyle w:val="TableContents"/>
              <w:bidi w:val="0"/>
              <w:spacing w:before="0" w:after="283"/>
              <w:jc w:val="left"/>
            </w:pPr>
            <w:r>
              <w:t> </w:t>
            </w:r>
          </w:p>
        </w:tc>
        <w:tc>
          <w:tcPr>
            <w:tcW w:w="1385" w:type="dxa"/>
            <w:tcBorders/>
            <w:shd w:fill="FFFFFF" w:val="clear"/>
            <w:vAlign w:val="center"/>
          </w:tcPr>
          <w:p>
            <w:pPr>
              <w:pStyle w:val="TableContents"/>
              <w:bidi w:val="0"/>
              <w:spacing w:before="0" w:after="283"/>
              <w:jc w:val="center"/>
            </w:pPr>
            <w:r>
              <w:rPr>
                <w:rStyle w:val="Emphasis"/>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77" w:type="dxa"/>
            <w:tcBorders/>
            <w:shd w:fill="FFFFFF" w:val="clear"/>
            <w:vAlign w:val="center"/>
          </w:tcPr>
          <w:p>
            <w:pPr>
              <w:pStyle w:val="TableContents"/>
              <w:bidi w:val="0"/>
              <w:spacing w:before="0" w:after="283"/>
              <w:jc w:val="left"/>
            </w:pPr>
            <w:r>
              <w:t> </w:t>
            </w:r>
          </w:p>
        </w:tc>
        <w:tc>
          <w:tcPr>
            <w:tcW w:w="1062" w:type="dxa"/>
            <w:tcBorders/>
            <w:shd w:fill="FFFFFF" w:val="clear"/>
            <w:vAlign w:val="center"/>
          </w:tcPr>
          <w:p>
            <w:pPr>
              <w:pStyle w:val="TableContents"/>
              <w:bidi w:val="0"/>
              <w:spacing w:before="0" w:after="283"/>
              <w:jc w:val="left"/>
              <w:rPr>
                <w:sz w:val="4"/>
                <w:szCs w:val="4"/>
              </w:rPr>
            </w:pPr>
            <w:r>
              <w:rPr>
                <w:sz w:val="4"/>
                <w:szCs w:val="4"/>
              </w:rPr>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561" w:type="dxa"/>
            <w:tcBorders/>
            <w:shd w:fill="FFFFFF" w:val="clear"/>
            <w:vAlign w:val="center"/>
          </w:tcPr>
          <w:p>
            <w:pPr>
              <w:pStyle w:val="TableContents"/>
              <w:bidi w:val="0"/>
              <w:spacing w:before="0" w:after="283"/>
              <w:jc w:val="left"/>
            </w:pPr>
            <w:r>
              <w:t> </w:t>
            </w:r>
          </w:p>
        </w:tc>
        <w:tc>
          <w:tcPr>
            <w:tcW w:w="10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Fair Value Level </w:t>
      </w:r>
      <w:r>
        <w:rPr>
          <w:rStyle w:val="Emphasis"/>
          <w:rFonts w:ascii="Times New Roman;Times;serif" w:hAnsi="Times New Roman;Times;serif"/>
          <w:sz w:val="20"/>
        </w:rPr>
        <w:t>2</w:t>
      </w:r>
      <w:r>
        <w:rPr>
          <w:rFonts w:ascii="Times New Roman;Times;serif" w:hAnsi="Times New Roman;Times;serif"/>
          <w:sz w:val="20"/>
        </w:rPr>
        <w:t xml:space="preserve"> assets and liabilities reflect the use of significant other observable inputs.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 xml:space="preserve">Fair value of financial instruments </w:t>
      </w:r>
      <w:r>
        <w:rPr>
          <w:rFonts w:ascii="Times New Roman;Times;serif" w:hAnsi="Times New Roman;Times;serif"/>
          <w:sz w:val="20"/>
        </w:rPr>
        <w:t xml:space="preserve">— The financial instruments that are </w:t>
      </w:r>
      <w:r>
        <w:rPr>
          <w:rStyle w:val="Emphasis"/>
          <w:rFonts w:ascii="Times New Roman;Times;serif" w:hAnsi="Times New Roman;Times;serif"/>
          <w:sz w:val="20"/>
        </w:rPr>
        <w:t>not</w:t>
      </w:r>
      <w:r>
        <w:rPr>
          <w:rFonts w:ascii="Times New Roman;Times;serif" w:hAnsi="Times New Roman;Times;serif"/>
          <w:sz w:val="20"/>
        </w:rPr>
        <w:t xml:space="preserve"> carried in our balance sheets at fair value are as follows:</w:t>
      </w:r>
    </w:p>
    <w:p>
      <w:pPr>
        <w:pStyle w:val="TextBody"/>
        <w:bidi w:val="0"/>
        <w:spacing w:before="0" w:after="0"/>
        <w:ind w:left="0" w:right="0" w:hanging="0"/>
        <w:jc w:val="left"/>
      </w:pPr>
      <w:r>
        <w:t> </w:t>
      </w:r>
    </w:p>
    <w:tbl>
      <w:tblPr>
        <w:tblW w:w="7689" w:type="dxa"/>
        <w:jc w:val="left"/>
        <w:tblInd w:w="0" w:type="dxa"/>
        <w:tblLayout w:type="fixed"/>
        <w:tblCellMar>
          <w:top w:w="0" w:type="dxa"/>
          <w:left w:w="0" w:type="dxa"/>
          <w:bottom w:w="0" w:type="dxa"/>
          <w:right w:w="0" w:type="dxa"/>
        </w:tblCellMar>
      </w:tblPr>
      <w:tblGrid>
        <w:gridCol w:w="1280"/>
        <w:gridCol w:w="60"/>
        <w:gridCol w:w="337"/>
        <w:gridCol w:w="706"/>
        <w:gridCol w:w="340"/>
        <w:gridCol w:w="60"/>
        <w:gridCol w:w="351"/>
        <w:gridCol w:w="943"/>
        <w:gridCol w:w="94"/>
        <w:gridCol w:w="94"/>
        <w:gridCol w:w="245"/>
        <w:gridCol w:w="659"/>
        <w:gridCol w:w="60"/>
        <w:gridCol w:w="60"/>
        <w:gridCol w:w="264"/>
        <w:gridCol w:w="1030"/>
        <w:gridCol w:w="71"/>
        <w:gridCol w:w="71"/>
        <w:gridCol w:w="184"/>
        <w:gridCol w:w="720"/>
        <w:gridCol w:w="60"/>
      </w:tblGrid>
      <w:tr>
        <w:tc>
          <w:tcPr>
            <w:tcW w:w="12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37" w:type="dxa"/>
            <w:tcBorders/>
            <w:shd w:fill="FFFFFF" w:val="clear"/>
            <w:vAlign w:val="center"/>
          </w:tcPr>
          <w:p>
            <w:pPr>
              <w:pStyle w:val="TableContents"/>
              <w:bidi w:val="0"/>
              <w:spacing w:before="0" w:after="283"/>
              <w:jc w:val="left"/>
            </w:pPr>
            <w:r>
              <w:t> </w:t>
            </w:r>
          </w:p>
        </w:tc>
        <w:tc>
          <w:tcPr>
            <w:tcW w:w="706" w:type="dxa"/>
            <w:tcBorders/>
            <w:shd w:fill="FFFFFF" w:val="clear"/>
            <w:vAlign w:val="center"/>
          </w:tcPr>
          <w:p>
            <w:pPr>
              <w:pStyle w:val="TableContents"/>
              <w:bidi w:val="0"/>
              <w:spacing w:before="0" w:after="283"/>
              <w:jc w:val="center"/>
            </w:pPr>
            <w:r>
              <w:rPr>
                <w:rStyle w:val="Emphasis"/>
              </w:rPr>
              <w:t> </w:t>
            </w:r>
          </w:p>
        </w:tc>
        <w:tc>
          <w:tcPr>
            <w:tcW w:w="340"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238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 2026</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ind w:left="0" w:right="0" w:hanging="0"/>
              <w:jc w:val="left"/>
            </w:pPr>
            <w:r>
              <w:t> </w:t>
            </w:r>
          </w:p>
        </w:tc>
        <w:tc>
          <w:tcPr>
            <w:tcW w:w="234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December 31, 2025</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c>
          <w:tcPr>
            <w:tcW w:w="12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3" w:type="dxa"/>
            <w:gridSpan w:val="3"/>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Fair Value Level</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9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Carrying Value</w:t>
            </w:r>
          </w:p>
        </w:tc>
        <w:tc>
          <w:tcPr>
            <w:tcW w:w="94" w:type="dxa"/>
            <w:tcBorders/>
            <w:shd w:fill="FFFFFF" w:val="clear"/>
            <w:vAlign w:val="center"/>
          </w:tcPr>
          <w:p>
            <w:pPr>
              <w:pStyle w:val="TableContents"/>
              <w:bidi w:val="0"/>
              <w:spacing w:before="0" w:after="283"/>
              <w:jc w:val="left"/>
              <w:rPr>
                <w:color w:val="000000"/>
              </w:rPr>
            </w:pPr>
            <w:r>
              <w:rPr>
                <w:color w:val="000000"/>
              </w:rPr>
              <w:t> </w:t>
            </w:r>
          </w:p>
        </w:tc>
        <w:tc>
          <w:tcPr>
            <w:tcW w:w="94" w:type="dxa"/>
            <w:tcBorders/>
            <w:shd w:fill="FFFFFF" w:val="clear"/>
            <w:vAlign w:val="center"/>
          </w:tcPr>
          <w:p>
            <w:pPr>
              <w:pStyle w:val="TableContents"/>
              <w:bidi w:val="0"/>
              <w:spacing w:before="0" w:after="283"/>
              <w:ind w:left="0" w:right="0" w:hanging="0"/>
              <w:jc w:val="left"/>
            </w:pPr>
            <w:r>
              <w:t> </w:t>
            </w:r>
          </w:p>
        </w:tc>
        <w:tc>
          <w:tcPr>
            <w:tcW w:w="90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Fair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c>
          <w:tcPr>
            <w:tcW w:w="60" w:type="dxa"/>
            <w:tcBorders/>
            <w:shd w:fill="FFFFFF" w:val="clear"/>
            <w:vAlign w:val="center"/>
          </w:tcPr>
          <w:p>
            <w:pPr>
              <w:pStyle w:val="TableContents"/>
              <w:bidi w:val="0"/>
              <w:spacing w:before="0" w:after="283"/>
              <w:ind w:left="0" w:right="0" w:hanging="0"/>
              <w:jc w:val="left"/>
            </w:pPr>
            <w:r>
              <w:t> </w:t>
            </w:r>
          </w:p>
        </w:tc>
        <w:tc>
          <w:tcPr>
            <w:tcW w:w="129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Carrying Value</w:t>
            </w:r>
          </w:p>
        </w:tc>
        <w:tc>
          <w:tcPr>
            <w:tcW w:w="71" w:type="dxa"/>
            <w:tcBorders/>
            <w:shd w:fill="FFFFFF" w:val="clear"/>
            <w:vAlign w:val="center"/>
          </w:tcPr>
          <w:p>
            <w:pPr>
              <w:pStyle w:val="TableContents"/>
              <w:bidi w:val="0"/>
              <w:spacing w:before="0" w:after="283"/>
              <w:jc w:val="left"/>
              <w:rPr>
                <w:color w:val="000000"/>
              </w:rPr>
            </w:pPr>
            <w:r>
              <w:rPr>
                <w:color w:val="000000"/>
              </w:rPr>
              <w:t> </w:t>
            </w:r>
          </w:p>
        </w:tc>
        <w:tc>
          <w:tcPr>
            <w:tcW w:w="71" w:type="dxa"/>
            <w:tcBorders/>
            <w:shd w:fill="FFFFFF" w:val="clear"/>
            <w:vAlign w:val="center"/>
          </w:tcPr>
          <w:p>
            <w:pPr>
              <w:pStyle w:val="TableContents"/>
              <w:bidi w:val="0"/>
              <w:spacing w:before="0" w:after="283"/>
              <w:ind w:left="0" w:right="0" w:hanging="0"/>
              <w:jc w:val="left"/>
            </w:pPr>
            <w:r>
              <w:t> </w:t>
            </w:r>
          </w:p>
        </w:tc>
        <w:tc>
          <w:tcPr>
            <w:tcW w:w="90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Fair Value</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pPr>
            <w:r>
              <w:t> </w:t>
            </w:r>
          </w:p>
        </w:tc>
        <w:tc>
          <w:tcPr>
            <w:tcW w:w="337" w:type="dxa"/>
            <w:tcBorders/>
            <w:shd w:fill="CCEEFF" w:val="clear"/>
            <w:vAlign w:val="center"/>
          </w:tcPr>
          <w:p>
            <w:pPr>
              <w:pStyle w:val="TableContents"/>
              <w:bidi w:val="0"/>
              <w:spacing w:before="0" w:after="283"/>
              <w:ind w:left="0" w:right="0" w:hanging="0"/>
              <w:jc w:val="left"/>
            </w:pPr>
            <w:r>
              <w:t> </w:t>
            </w:r>
          </w:p>
        </w:tc>
        <w:tc>
          <w:tcPr>
            <w:tcW w:w="706" w:type="dxa"/>
            <w:tcBorders/>
            <w:shd w:fill="CCEEFF" w:val="clear"/>
            <w:vAlign w:val="center"/>
          </w:tcPr>
          <w:p>
            <w:pPr>
              <w:pStyle w:val="TableContents"/>
              <w:bidi w:val="0"/>
              <w:spacing w:before="0" w:after="283"/>
              <w:ind w:left="0" w:right="0" w:hanging="0"/>
              <w:jc w:val="center"/>
            </w:pPr>
            <w:r>
              <w:rPr>
                <w:rStyle w:val="Emphasis"/>
                <w:rFonts w:ascii="Times New Roman;Times;serif" w:hAnsi="Times New Roman;Times;serif"/>
                <w:sz w:val="20"/>
              </w:rPr>
              <w:t>2</w:t>
            </w:r>
          </w:p>
        </w:tc>
        <w:tc>
          <w:tcPr>
            <w:tcW w:w="340"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3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94" w:type="dxa"/>
            <w:tcBorders/>
            <w:shd w:fill="CCEEFF" w:val="clear"/>
            <w:vAlign w:val="center"/>
          </w:tcPr>
          <w:p>
            <w:pPr>
              <w:pStyle w:val="TableContents"/>
              <w:bidi w:val="0"/>
              <w:spacing w:before="0" w:after="283"/>
              <w:jc w:val="left"/>
            </w:pPr>
            <w:r>
              <w:t> </w:t>
            </w:r>
          </w:p>
        </w:tc>
        <w:tc>
          <w:tcPr>
            <w:tcW w:w="94"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w:t>
            </w:r>
          </w:p>
        </w:tc>
        <w:tc>
          <w:tcPr>
            <w:tcW w:w="71" w:type="dxa"/>
            <w:tcBorders/>
            <w:shd w:fill="CCEEFF" w:val="clear"/>
            <w:vAlign w:val="center"/>
          </w:tcPr>
          <w:p>
            <w:pPr>
              <w:pStyle w:val="TableContents"/>
              <w:bidi w:val="0"/>
              <w:spacing w:before="0" w:after="283"/>
              <w:jc w:val="left"/>
            </w:pPr>
            <w:r>
              <w:t> </w:t>
            </w:r>
          </w:p>
        </w:tc>
        <w:tc>
          <w:tcPr>
            <w:tcW w:w="71"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Foreign currency derivatives</w:t>
      </w:r>
      <w:r>
        <w:rPr>
          <w:rFonts w:ascii="Times New Roman;Times;serif" w:hAnsi="Times New Roman;Times;serif"/>
          <w:sz w:val="20"/>
        </w:rPr>
        <w:t xml:space="preserve"> — Our foreign currency derivatives include forward contracts associated with forecasted transactions, primarily involving the purchases and sales of inventory, as well as currency swaps associated with certain recorded external notes payable and intercompany loans receivable and payable. Periodically, our foreign currency derivatives also include net investment hedges of certain of our investments in foreign operations.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executed fixed-to-fixed cross-currency swaps in conjunction with the issuance of certain notes to eliminate the variability in the functional-currency-equivalent cash flows due to changes in exchange rates associated with the forecasted principal and interest payments. All of the underlying designated financial instruments have been designated as the hedged items in each respective cash flow hedge relationship, as shown in the table below. Designated as cash flow hedges of the forecasted principal and interest payments of the underlying designated financial instruments, all of the swaps economically convert the underlying designated financial instruments into the functional currency of each respective holder. The impact of the interest rate differential between the inflow and outflow rates on fixed-to-fixed cross-currency swaps is recognized during each period as a component of interest expense for hedges of external debt and as a component of other income (expense), net for hedges of intercompany debt.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following fixed-to-fixed cross-currency swaps were outstanding at </w:t>
      </w:r>
      <w:r>
        <w:rPr>
          <w:rStyle w:val="Emphasis"/>
          <w:rFonts w:ascii="Times New Roman;Times;serif" w:hAnsi="Times New Roman;Times;serif"/>
          <w:sz w:val="20"/>
        </w:rPr>
        <w:t>September 30, 2026</w:t>
      </w:r>
      <w:r>
        <w:rPr>
          <w:rFonts w:ascii="Times New Roman;Times;serif" w:hAnsi="Times New Roman;Times;serif"/>
          <w:sz w:val="20"/>
        </w:rPr>
        <w: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2373"/>
        <w:gridCol w:w="60"/>
        <w:gridCol w:w="920"/>
        <w:gridCol w:w="60"/>
        <w:gridCol w:w="292"/>
        <w:gridCol w:w="701"/>
        <w:gridCol w:w="60"/>
        <w:gridCol w:w="60"/>
        <w:gridCol w:w="60"/>
        <w:gridCol w:w="380"/>
        <w:gridCol w:w="185"/>
        <w:gridCol w:w="60"/>
        <w:gridCol w:w="373"/>
        <w:gridCol w:w="897"/>
        <w:gridCol w:w="66"/>
        <w:gridCol w:w="66"/>
        <w:gridCol w:w="306"/>
        <w:gridCol w:w="825"/>
        <w:gridCol w:w="66"/>
        <w:gridCol w:w="66"/>
        <w:gridCol w:w="117"/>
        <w:gridCol w:w="747"/>
        <w:gridCol w:w="205"/>
        <w:gridCol w:w="66"/>
        <w:gridCol w:w="134"/>
        <w:gridCol w:w="865"/>
        <w:gridCol w:w="195"/>
      </w:tblGrid>
      <w:tr>
        <w:tc>
          <w:tcPr>
            <w:tcW w:w="4966" w:type="dxa"/>
            <w:gridSpan w:val="10"/>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Underlying Financial Instrument</w:t>
            </w:r>
          </w:p>
        </w:tc>
        <w:tc>
          <w:tcPr>
            <w:tcW w:w="18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799" w:type="dxa"/>
            <w:gridSpan w:val="14"/>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Derivative Financial Instrument</w:t>
            </w:r>
          </w:p>
        </w:tc>
        <w:tc>
          <w:tcPr>
            <w:tcW w:w="19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c>
          <w:tcPr>
            <w:tcW w:w="2373"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20" w:type="dxa"/>
            <w:tcBorders>
              <w:bottom w:val="single" w:sz="2" w:space="0" w:color="000000"/>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Type</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993"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Face Amount</w:t>
            </w:r>
          </w:p>
        </w:tc>
        <w:tc>
          <w:tcPr>
            <w:tcW w:w="60"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440"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Rate</w:t>
            </w:r>
          </w:p>
        </w:tc>
        <w:tc>
          <w:tcPr>
            <w:tcW w:w="185"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70" w:type="dxa"/>
            <w:gridSpan w:val="2"/>
            <w:tcBorders/>
            <w:shd w:fill="FFFFFF" w:val="clear"/>
            <w:tcMar>
              <w:bottom w:w="0" w:type="dxa"/>
            </w:tcMar>
            <w:vAlign w:val="center"/>
          </w:tcPr>
          <w:p>
            <w:pPr>
              <w:pStyle w:val="TableContents"/>
              <w:bidi w:val="0"/>
              <w:spacing w:before="0" w:after="283"/>
              <w:jc w:val="center"/>
            </w:pPr>
            <w:r>
              <w:rPr>
                <w:rStyle w:val="Emphasis"/>
                <w:rFonts w:ascii="Times New Roman;Times;serif" w:hAnsi="Times New Roman;Times;serif"/>
                <w:color w:val="000000"/>
                <w:sz w:val="20"/>
              </w:rPr>
              <w:t>Notional Amount</w:t>
            </w:r>
          </w:p>
        </w:tc>
        <w:tc>
          <w:tcPr>
            <w:tcW w:w="66"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1131"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Traded Amount</w:t>
            </w:r>
          </w:p>
        </w:tc>
        <w:tc>
          <w:tcPr>
            <w:tcW w:w="66"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864"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Inflow Rate</w:t>
            </w:r>
          </w:p>
        </w:tc>
        <w:tc>
          <w:tcPr>
            <w:tcW w:w="205" w:type="dxa"/>
            <w:tcBorders/>
            <w:shd w:fill="FFFFFF" w:val="clear"/>
            <w:tcMar>
              <w:bottom w:w="0" w:type="dxa"/>
            </w:tcMar>
            <w:vAlign w:val="center"/>
          </w:tcPr>
          <w:p>
            <w:pPr>
              <w:pStyle w:val="TableContents"/>
              <w:bidi w:val="0"/>
              <w:spacing w:before="0" w:after="283"/>
              <w:jc w:val="left"/>
              <w:rPr>
                <w:color w:val="000000"/>
              </w:rPr>
            </w:pPr>
            <w:r>
              <w:rPr>
                <w:color w:val="000000"/>
              </w:rPr>
              <w:t> </w:t>
            </w:r>
          </w:p>
        </w:tc>
        <w:tc>
          <w:tcPr>
            <w:tcW w:w="66" w:type="dxa"/>
            <w:tcBorders/>
            <w:shd w:fill="FFFFFF" w:val="clear"/>
            <w:tcMar>
              <w:bottom w:w="0" w:type="dxa"/>
            </w:tcMar>
            <w:vAlign w:val="center"/>
          </w:tcPr>
          <w:p>
            <w:pPr>
              <w:pStyle w:val="TableContents"/>
              <w:bidi w:val="0"/>
              <w:spacing w:before="0" w:after="283"/>
              <w:ind w:left="0" w:right="0" w:hanging="0"/>
              <w:jc w:val="left"/>
            </w:pPr>
            <w:r>
              <w:t> </w:t>
            </w:r>
          </w:p>
        </w:tc>
        <w:tc>
          <w:tcPr>
            <w:tcW w:w="999" w:type="dxa"/>
            <w:gridSpan w:val="2"/>
            <w:tcBorders/>
            <w:shd w:fill="FFFFFF" w:val="clear"/>
            <w:tcMar>
              <w:bottom w:w="0"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Outflow Rate</w:t>
            </w:r>
          </w:p>
        </w:tc>
        <w:tc>
          <w:tcPr>
            <w:tcW w:w="195" w:type="dxa"/>
            <w:tcBorders/>
            <w:shd w:fill="FFFFFF" w:val="clear"/>
            <w:tcMar>
              <w:bottom w:w="0" w:type="dxa"/>
            </w:tcMar>
            <w:vAlign w:val="center"/>
          </w:tcPr>
          <w:p>
            <w:pPr>
              <w:pStyle w:val="TableContents"/>
              <w:bidi w:val="0"/>
              <w:spacing w:before="0" w:after="283"/>
              <w:jc w:val="left"/>
              <w:rPr>
                <w:color w:val="000000"/>
              </w:rPr>
            </w:pPr>
            <w:r>
              <w:rPr>
                <w:color w:val="000000"/>
              </w:rPr>
              <w:t> </w:t>
            </w:r>
          </w:p>
        </w:tc>
      </w:tr>
      <w:tr>
        <w:tc>
          <w:tcPr>
            <w:tcW w:w="23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Luxembourg Intercompany Notes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920" w:type="dxa"/>
            <w:tcBorders/>
            <w:shd w:fill="CCEEFF" w:val="clear"/>
            <w:tcMar>
              <w:bottom w:w="0" w:type="dxa"/>
            </w:tcMar>
            <w:vAlign w:val="center"/>
          </w:tcPr>
          <w:p>
            <w:pPr>
              <w:pStyle w:val="TableContents"/>
              <w:bidi w:val="0"/>
              <w:spacing w:before="0" w:after="0"/>
              <w:ind w:left="0" w:right="0" w:hanging="0"/>
              <w:jc w:val="left"/>
            </w:pPr>
            <w:r>
              <w:rPr>
                <w:rStyle w:val="Emphasis"/>
                <w:rFonts w:ascii="Times New Roman;Times;serif" w:hAnsi="Times New Roman;Times;serif"/>
                <w:sz w:val="20"/>
              </w:rPr>
              <w:t>Receivable</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92" w:type="dxa"/>
            <w:tcBorders/>
            <w:shd w:fill="CCEEFF" w:val="clear"/>
            <w:tcMar>
              <w:bottom w:w="0" w:type="dxa"/>
            </w:tcMar>
            <w:vAlign w:val="center"/>
          </w:tcPr>
          <w:p>
            <w:pPr>
              <w:pStyle w:val="TableContents"/>
              <w:bidi w:val="0"/>
              <w:spacing w:before="0" w:after="283"/>
              <w:ind w:left="0" w:right="0" w:hanging="0"/>
              <w:jc w:val="left"/>
            </w:pPr>
            <w:r>
              <w:t>€</w:t>
            </w:r>
          </w:p>
        </w:tc>
        <w:tc>
          <w:tcPr>
            <w:tcW w:w="70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373" w:type="dxa"/>
            <w:tcBorders/>
            <w:shd w:fill="CCEEFF" w:val="clear"/>
            <w:tcMar>
              <w:bottom w:w="0" w:type="dxa"/>
            </w:tcMar>
            <w:vAlign w:val="center"/>
          </w:tcPr>
          <w:p>
            <w:pPr>
              <w:pStyle w:val="TableContents"/>
              <w:bidi w:val="0"/>
              <w:spacing w:before="0" w:after="283"/>
              <w:ind w:left="0" w:right="0" w:hanging="0"/>
              <w:jc w:val="left"/>
            </w:pPr>
            <w:r>
              <w:t>€</w:t>
            </w:r>
          </w:p>
        </w:tc>
        <w:tc>
          <w:tcPr>
            <w:tcW w:w="89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6"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ind w:left="0" w:right="0" w:hanging="0"/>
              <w:jc w:val="left"/>
            </w:pPr>
            <w:r>
              <w:t> </w:t>
            </w:r>
          </w:p>
        </w:tc>
        <w:tc>
          <w:tcPr>
            <w:tcW w:w="3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6" w:type="dxa"/>
            <w:tcBorders/>
            <w:shd w:fill="CCEEFF" w:val="clear"/>
            <w:tcMar>
              <w:bottom w:w="0" w:type="dxa"/>
            </w:tcMar>
            <w:vAlign w:val="center"/>
          </w:tcPr>
          <w:p>
            <w:pPr>
              <w:pStyle w:val="TableContents"/>
              <w:bidi w:val="0"/>
              <w:spacing w:before="0" w:after="283"/>
              <w:jc w:val="left"/>
            </w:pPr>
            <w:r>
              <w:t> </w:t>
            </w:r>
          </w:p>
        </w:tc>
        <w:tc>
          <w:tcPr>
            <w:tcW w:w="66" w:type="dxa"/>
            <w:tcBorders/>
            <w:shd w:fill="CCEEFF" w:val="clear"/>
            <w:tcMar>
              <w:bottom w:w="0" w:type="dxa"/>
            </w:tcMar>
            <w:vAlign w:val="center"/>
          </w:tcPr>
          <w:p>
            <w:pPr>
              <w:pStyle w:val="TableContents"/>
              <w:bidi w:val="0"/>
              <w:spacing w:before="0" w:after="283"/>
              <w:jc w:val="left"/>
            </w:pPr>
            <w:r>
              <w:t> </w:t>
            </w:r>
          </w:p>
        </w:tc>
        <w:tc>
          <w:tcPr>
            <w:tcW w:w="117" w:type="dxa"/>
            <w:tcBorders/>
            <w:shd w:fill="CCEEFF" w:val="clear"/>
            <w:tcMar>
              <w:bottom w:w="0" w:type="dxa"/>
            </w:tcMar>
            <w:vAlign w:val="center"/>
          </w:tcPr>
          <w:p>
            <w:pPr>
              <w:pStyle w:val="TableContents"/>
              <w:bidi w:val="0"/>
              <w:spacing w:before="0" w:after="283"/>
              <w:ind w:left="0" w:right="0" w:hanging="0"/>
              <w:jc w:val="left"/>
            </w:pPr>
            <w:r>
              <w:t> </w:t>
            </w:r>
          </w:p>
        </w:tc>
        <w:tc>
          <w:tcPr>
            <w:tcW w:w="7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tcMar>
              <w:bottom w:w="0" w:type="dxa"/>
            </w:tcMar>
            <w:vAlign w:val="center"/>
          </w:tcPr>
          <w:p>
            <w:pPr>
              <w:pStyle w:val="TableContents"/>
              <w:bidi w:val="0"/>
              <w:spacing w:before="0" w:after="283"/>
              <w:jc w:val="left"/>
            </w:pPr>
            <w:r>
              <w:t> </w:t>
            </w:r>
          </w:p>
        </w:tc>
        <w:tc>
          <w:tcPr>
            <w:tcW w:w="134" w:type="dxa"/>
            <w:tcBorders/>
            <w:shd w:fill="CCEEFF" w:val="clear"/>
            <w:tcMar>
              <w:bottom w:w="0" w:type="dxa"/>
            </w:tcMar>
            <w:vAlign w:val="center"/>
          </w:tcPr>
          <w:p>
            <w:pPr>
              <w:pStyle w:val="TableContents"/>
              <w:bidi w:val="0"/>
              <w:spacing w:before="0" w:after="283"/>
              <w:ind w:left="0" w:right="0" w:hanging="0"/>
              <w:jc w:val="left"/>
            </w:pPr>
            <w:r>
              <w:t> </w:t>
            </w:r>
          </w:p>
        </w:tc>
        <w:tc>
          <w:tcPr>
            <w:tcW w:w="8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designated swaps are expected to be highly effective in offsetting the corresponding currency-based changes in cash outflows related to the underlying designated financial instruments. Based on our qualitative assessment that the critical terms of the underlying designated financial instruments and the associated swaps match and that all other required criteria have been met, we do </w:t>
      </w:r>
      <w:r>
        <w:rPr>
          <w:rStyle w:val="Emphasis"/>
          <w:rFonts w:ascii="Times New Roman;Times;serif" w:hAnsi="Times New Roman;Times;serif"/>
          <w:sz w:val="20"/>
        </w:rPr>
        <w:t>not</w:t>
      </w:r>
      <w:r>
        <w:rPr>
          <w:rFonts w:ascii="Times New Roman;Times;serif" w:hAnsi="Times New Roman;Times;serif"/>
          <w:sz w:val="20"/>
        </w:rPr>
        <w:t xml:space="preserve"> expect to incur any ineffectiveness. As effective cash flow hedges, changes in the fair value of the swaps will be recorded in OCI during each period. Additionally, to the extent the swaps remain effective, the appropriate portion of AOCI will be reclassified to earnings each period as an offset to the foreign exchange gain or loss resulting from the remeasurement of the underlying designated financial instruments. To the extent the swaps are </w:t>
      </w:r>
      <w:r>
        <w:rPr>
          <w:rStyle w:val="Emphasis"/>
          <w:rFonts w:ascii="Times New Roman;Times;serif" w:hAnsi="Times New Roman;Times;serif"/>
          <w:sz w:val="20"/>
        </w:rPr>
        <w:t>no</w:t>
      </w:r>
      <w:r>
        <w:rPr>
          <w:rFonts w:ascii="Times New Roman;Times;serif" w:hAnsi="Times New Roman;Times;serif"/>
          <w:sz w:val="20"/>
        </w:rPr>
        <w:t xml:space="preserve"> longer effective, changes in their fair values will be recorded in earnings. </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total notional amount of outstanding foreign currency forward contracts, involving the exchange of various currencies, was $953 at </w:t>
      </w:r>
      <w:r>
        <w:rPr>
          <w:rStyle w:val="Emphasis"/>
          <w:rFonts w:ascii="Times New Roman;Times;serif" w:hAnsi="Times New Roman;Times;serif"/>
          <w:sz w:val="20"/>
        </w:rPr>
        <w:t>September 30, 2026</w:t>
      </w:r>
      <w:r>
        <w:rPr>
          <w:rFonts w:ascii="Times New Roman;Times;serif" w:hAnsi="Times New Roman;Times;serif"/>
          <w:sz w:val="20"/>
        </w:rPr>
        <w:t xml:space="preserve"> and $898 at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The total notional amount of outstanding foreign currency swaps, including the fixed-to-fixed cross-currency swaps, was $315 at </w:t>
      </w:r>
      <w:r>
        <w:rPr>
          <w:rStyle w:val="Emphasis"/>
          <w:rFonts w:ascii="Times New Roman;Times;serif" w:hAnsi="Times New Roman;Times;serif"/>
          <w:sz w:val="20"/>
        </w:rPr>
        <w:t>September 30, 2026</w:t>
      </w:r>
      <w:r>
        <w:rPr>
          <w:rFonts w:ascii="Times New Roman;Times;serif" w:hAnsi="Times New Roman;Times;serif"/>
          <w:sz w:val="20"/>
        </w:rPr>
        <w:t xml:space="preserve"> and $712 at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following currency derivatives were outstanding at </w:t>
      </w:r>
      <w:r>
        <w:rPr>
          <w:rStyle w:val="Emphasis"/>
          <w:rFonts w:ascii="Times New Roman;Times;serif" w:hAnsi="Times New Roman;Times;serif"/>
          <w:sz w:val="20"/>
        </w:rPr>
        <w:t>September 30, 2026</w:t>
      </w:r>
      <w:r>
        <w:rPr>
          <w:rFonts w:ascii="Times New Roman;Times;serif" w:hAnsi="Times New Roman;Times;serif"/>
          <w:sz w:val="20"/>
        </w:rPr>
        <w:t>:</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80"/>
        <w:gridCol w:w="60"/>
        <w:gridCol w:w="4364"/>
        <w:gridCol w:w="60"/>
        <w:gridCol w:w="258"/>
        <w:gridCol w:w="692"/>
        <w:gridCol w:w="85"/>
        <w:gridCol w:w="85"/>
        <w:gridCol w:w="315"/>
        <w:gridCol w:w="845"/>
        <w:gridCol w:w="85"/>
        <w:gridCol w:w="85"/>
        <w:gridCol w:w="177"/>
        <w:gridCol w:w="689"/>
        <w:gridCol w:w="60"/>
        <w:gridCol w:w="60"/>
        <w:gridCol w:w="805"/>
      </w:tblGrid>
      <w:tr>
        <w:tc>
          <w:tcPr>
            <w:tcW w:w="14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364"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331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Notional Amount (U.S. Dollar Equivalent)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5" w:type="dxa"/>
            <w:tcBorders/>
            <w:shd w:fill="FFFFFF" w:val="clear"/>
            <w:vAlign w:val="center"/>
          </w:tcPr>
          <w:p>
            <w:pPr>
              <w:pStyle w:val="TableContents"/>
              <w:bidi w:val="0"/>
              <w:spacing w:before="0" w:after="283"/>
              <w:jc w:val="left"/>
            </w:pPr>
            <w:r>
              <w:rPr>
                <w:rStyle w:val="Emphasis"/>
              </w:rPr>
              <w:t> </w:t>
            </w:r>
          </w:p>
        </w:tc>
      </w:tr>
      <w:tr>
        <w:tc>
          <w:tcPr>
            <w:tcW w:w="14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Functional Currency</w:t>
            </w:r>
          </w:p>
        </w:tc>
        <w:tc>
          <w:tcPr>
            <w:tcW w:w="60" w:type="dxa"/>
            <w:tcBorders/>
            <w:shd w:fill="FFFFFF" w:val="clear"/>
            <w:vAlign w:val="center"/>
          </w:tcPr>
          <w:p>
            <w:pPr>
              <w:pStyle w:val="TableContents"/>
              <w:bidi w:val="0"/>
              <w:spacing w:before="0" w:after="283"/>
              <w:ind w:left="0" w:right="0" w:hanging="0"/>
              <w:jc w:val="left"/>
            </w:pPr>
            <w:r>
              <w:t> </w:t>
            </w:r>
          </w:p>
        </w:tc>
        <w:tc>
          <w:tcPr>
            <w:tcW w:w="436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Traded Currency</w:t>
            </w:r>
          </w:p>
        </w:tc>
        <w:tc>
          <w:tcPr>
            <w:tcW w:w="60" w:type="dxa"/>
            <w:tcBorders/>
            <w:shd w:fill="FFFFFF" w:val="clear"/>
            <w:vAlign w:val="center"/>
          </w:tcPr>
          <w:p>
            <w:pPr>
              <w:pStyle w:val="TableContents"/>
              <w:bidi w:val="0"/>
              <w:spacing w:before="0" w:after="283"/>
              <w:ind w:left="0" w:right="0" w:hanging="0"/>
              <w:jc w:val="left"/>
            </w:pPr>
            <w: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Designated</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ind w:left="0" w:right="0" w:hanging="0"/>
              <w:jc w:val="left"/>
            </w:pPr>
            <w: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Undesignated</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ind w:left="0" w:right="0" w:hanging="0"/>
              <w:jc w:val="left"/>
            </w:pPr>
            <w: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Maturity</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ind w:left="0" w:right="0" w:hanging="0"/>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Canadian dollar, Chinese renminbi, Mexican peso</w:t>
            </w:r>
          </w:p>
        </w:tc>
        <w:tc>
          <w:tcPr>
            <w:tcW w:w="60" w:type="dxa"/>
            <w:tcBorders/>
            <w:shd w:fill="CCEEFF" w:val="clear"/>
            <w:vAlign w:val="center"/>
          </w:tcPr>
          <w:p>
            <w:pPr>
              <w:pStyle w:val="TableContents"/>
              <w:bidi w:val="0"/>
              <w:spacing w:before="0" w:after="283"/>
              <w:ind w:left="0" w:right="0" w:hanging="0"/>
              <w:jc w:val="left"/>
            </w:pPr>
            <w: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ind w:left="0" w:right="0" w:hanging="0"/>
              <w:jc w:val="left"/>
            </w:pPr>
            <w: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ind w:left="0" w:right="0" w:hanging="0"/>
              <w:jc w:val="left"/>
            </w:pPr>
            <w: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shd w:fill="CCEEFF" w:val="clear"/>
            <w:vAlign w:val="center"/>
          </w:tcPr>
          <w:p>
            <w:pPr>
              <w:pStyle w:val="TableContents"/>
              <w:bidi w:val="0"/>
              <w:spacing w:before="0" w:after="283"/>
              <w:ind w:left="0" w:right="0" w:hanging="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Oct-2027</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w:t>
            </w:r>
          </w:p>
        </w:tc>
        <w:tc>
          <w:tcPr>
            <w:tcW w:w="60" w:type="dxa"/>
            <w:tcBorders/>
            <w:shd w:fill="FFFFFF" w:val="clear"/>
            <w:vAlign w:val="center"/>
          </w:tcPr>
          <w:p>
            <w:pPr>
              <w:pStyle w:val="TableContents"/>
              <w:bidi w:val="0"/>
              <w:spacing w:before="0" w:after="283"/>
              <w:ind w:left="0" w:right="0" w:hanging="0"/>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 Australian dollar, British pound, Hungarian forint, Indian rupee, Mexican peso, Swedish krona</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ind w:left="0" w:right="0" w:hanging="0"/>
              <w:jc w:val="left"/>
            </w:pPr>
            <w: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ind w:left="0" w:right="0" w:hanging="0"/>
              <w:jc w:val="left"/>
            </w:pPr>
            <w: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60" w:type="dxa"/>
            <w:tcBorders/>
            <w:shd w:fill="FFFFFF" w:val="cle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Sep-2027</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Indian rupee</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 euro, British pound</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jc w:val="left"/>
            </w:pPr>
            <w:r>
              <w:t> </w:t>
            </w:r>
          </w:p>
        </w:tc>
        <w:tc>
          <w:tcPr>
            <w:tcW w:w="692" w:type="dxa"/>
            <w:tcBorders/>
            <w:shd w:fill="CCEEFF" w:val="clear"/>
            <w:vAlign w:val="center"/>
          </w:tcPr>
          <w:p>
            <w:pPr>
              <w:pStyle w:val="TableContents"/>
              <w:bidi w:val="0"/>
              <w:spacing w:before="0" w:after="283"/>
              <w:jc w:val="right"/>
            </w:pPr>
            <w:r>
              <w:rPr>
                <w:rStyle w:val="Emphasis"/>
              </w:rP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Jun-2027</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Brazilian real</w:t>
            </w:r>
          </w:p>
        </w:tc>
        <w:tc>
          <w:tcPr>
            <w:tcW w:w="60" w:type="dxa"/>
            <w:tcBorders/>
            <w:shd w:fill="FFFFFF" w:val="clear"/>
            <w:vAlign w:val="center"/>
          </w:tcPr>
          <w:p>
            <w:pPr>
              <w:pStyle w:val="TableContents"/>
              <w:bidi w:val="0"/>
              <w:spacing w:before="0" w:after="283"/>
              <w:ind w:left="0" w:right="0" w:hanging="0"/>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 euro</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ind w:left="0" w:right="0" w:hanging="0"/>
              <w:jc w:val="left"/>
            </w:pPr>
            <w: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ind w:left="0" w:right="0" w:hanging="0"/>
              <w:jc w:val="left"/>
            </w:pPr>
            <w: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Jun-2027</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African rand</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 euro, Thai baht</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jc w:val="left"/>
            </w:pPr>
            <w:r>
              <w:t> </w:t>
            </w:r>
          </w:p>
        </w:tc>
        <w:tc>
          <w:tcPr>
            <w:tcW w:w="692" w:type="dxa"/>
            <w:tcBorders/>
            <w:shd w:fill="CCEEFF" w:val="clear"/>
            <w:vAlign w:val="center"/>
          </w:tcPr>
          <w:p>
            <w:pPr>
              <w:pStyle w:val="TableContents"/>
              <w:bidi w:val="0"/>
              <w:spacing w:before="0" w:after="283"/>
              <w:jc w:val="right"/>
            </w:pPr>
            <w:r>
              <w:rPr>
                <w:rStyle w:val="Emphasis"/>
              </w:rP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Feb-2027</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Canadian dollar</w:t>
            </w:r>
          </w:p>
        </w:tc>
        <w:tc>
          <w:tcPr>
            <w:tcW w:w="60" w:type="dxa"/>
            <w:tcBorders/>
            <w:shd w:fill="FFFFFF" w:val="clear"/>
            <w:vAlign w:val="center"/>
          </w:tcPr>
          <w:p>
            <w:pPr>
              <w:pStyle w:val="TableContents"/>
              <w:bidi w:val="0"/>
              <w:spacing w:before="0" w:after="0"/>
              <w:ind w:left="0" w:right="0" w:hanging="0"/>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w:t>
            </w:r>
          </w:p>
        </w:tc>
        <w:tc>
          <w:tcPr>
            <w:tcW w:w="60" w:type="dxa"/>
            <w:tcBorders/>
            <w:shd w:fill="FFFFFF" w:val="clear"/>
            <w:vAlign w:val="center"/>
          </w:tcPr>
          <w:p>
            <w:pPr>
              <w:pStyle w:val="TableContents"/>
              <w:bidi w:val="0"/>
              <w:spacing w:before="0" w:after="0"/>
              <w:ind w:left="0" w:right="0" w:hanging="0"/>
              <w:jc w:val="left"/>
            </w:pPr>
            <w:r>
              <w:t> </w:t>
            </w:r>
          </w:p>
        </w:tc>
        <w:tc>
          <w:tcPr>
            <w:tcW w:w="258" w:type="dxa"/>
            <w:tcBorders/>
            <w:shd w:fill="FFFFFF" w:val="clear"/>
            <w:vAlign w:val="center"/>
          </w:tcPr>
          <w:p>
            <w:pPr>
              <w:pStyle w:val="TableContents"/>
              <w:bidi w:val="0"/>
              <w:spacing w:before="0" w:after="0"/>
              <w:ind w:left="0" w:right="0" w:hanging="0"/>
              <w:jc w:val="left"/>
            </w:pPr>
            <w:r>
              <w:t> </w:t>
            </w:r>
          </w:p>
        </w:tc>
        <w:tc>
          <w:tcPr>
            <w:tcW w:w="69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85" w:type="dxa"/>
            <w:tcBorders/>
            <w:shd w:fill="FFFFFF" w:val="clear"/>
            <w:vAlign w:val="center"/>
          </w:tcPr>
          <w:p>
            <w:pPr>
              <w:pStyle w:val="TableContents"/>
              <w:bidi w:val="0"/>
              <w:spacing w:before="0" w:after="0"/>
              <w:ind w:left="0" w:right="0" w:hanging="0"/>
              <w:jc w:val="left"/>
            </w:pPr>
            <w:r>
              <w:t> </w:t>
            </w:r>
          </w:p>
        </w:tc>
        <w:tc>
          <w:tcPr>
            <w:tcW w:w="85" w:type="dxa"/>
            <w:tcBorders/>
            <w:shd w:fill="FFFFFF" w:val="clear"/>
            <w:vAlign w:val="center"/>
          </w:tcPr>
          <w:p>
            <w:pPr>
              <w:pStyle w:val="TableContents"/>
              <w:bidi w:val="0"/>
              <w:spacing w:before="0" w:after="0"/>
              <w:ind w:left="0" w:right="0" w:hanging="0"/>
              <w:jc w:val="left"/>
            </w:pPr>
            <w:r>
              <w:t> </w:t>
            </w:r>
          </w:p>
        </w:tc>
        <w:tc>
          <w:tcPr>
            <w:tcW w:w="315" w:type="dxa"/>
            <w:tcBorders/>
            <w:shd w:fill="FFFFFF" w:val="clear"/>
            <w:vAlign w:val="center"/>
          </w:tcPr>
          <w:p>
            <w:pPr>
              <w:pStyle w:val="TableContents"/>
              <w:bidi w:val="0"/>
              <w:spacing w:before="0" w:after="0"/>
              <w:ind w:left="0" w:right="0" w:hanging="0"/>
              <w:jc w:val="left"/>
            </w:pPr>
            <w: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5" w:type="dxa"/>
            <w:tcBorders/>
            <w:shd w:fill="FFFFFF" w:val="clear"/>
            <w:vAlign w:val="center"/>
          </w:tcPr>
          <w:p>
            <w:pPr>
              <w:pStyle w:val="TableContents"/>
              <w:bidi w:val="0"/>
              <w:spacing w:before="0" w:after="0"/>
              <w:ind w:left="0" w:right="0" w:hanging="0"/>
              <w:jc w:val="left"/>
            </w:pPr>
            <w:r>
              <w:t> </w:t>
            </w:r>
          </w:p>
        </w:tc>
        <w:tc>
          <w:tcPr>
            <w:tcW w:w="85" w:type="dxa"/>
            <w:tcBorders/>
            <w:shd w:fill="FFFFFF" w:val="clear"/>
            <w:vAlign w:val="center"/>
          </w:tcPr>
          <w:p>
            <w:pPr>
              <w:pStyle w:val="TableContents"/>
              <w:bidi w:val="0"/>
              <w:spacing w:before="0" w:after="0"/>
              <w:jc w:val="left"/>
            </w:pPr>
            <w:r>
              <w:t> </w:t>
            </w:r>
          </w:p>
        </w:tc>
        <w:tc>
          <w:tcPr>
            <w:tcW w:w="177" w:type="dxa"/>
            <w:tcBorders/>
            <w:shd w:fill="FFFFFF" w:val="clear"/>
            <w:vAlign w:val="center"/>
          </w:tcPr>
          <w:p>
            <w:pPr>
              <w:pStyle w:val="TableContents"/>
              <w:bidi w:val="0"/>
              <w:spacing w:before="0" w:after="283"/>
              <w:ind w:left="0" w:right="0" w:hanging="0"/>
              <w:jc w:val="left"/>
            </w:pPr>
            <w:r>
              <w:t> </w:t>
            </w:r>
          </w:p>
        </w:tc>
        <w:tc>
          <w:tcPr>
            <w:tcW w:w="689"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Feb-2027</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Thai baht</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jc w:val="left"/>
            </w:pPr>
            <w:r>
              <w:t> </w:t>
            </w:r>
          </w:p>
        </w:tc>
        <w:tc>
          <w:tcPr>
            <w:tcW w:w="692" w:type="dxa"/>
            <w:tcBorders/>
            <w:shd w:fill="CCEEFF" w:val="clear"/>
            <w:vAlign w:val="center"/>
          </w:tcPr>
          <w:p>
            <w:pPr>
              <w:pStyle w:val="TableContents"/>
              <w:bidi w:val="0"/>
              <w:spacing w:before="0" w:after="283"/>
              <w:jc w:val="right"/>
            </w:pPr>
            <w:r>
              <w:rPr>
                <w:rStyle w:val="Emphasis"/>
              </w:rP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Oct-2026</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British pound</w:t>
            </w:r>
          </w:p>
        </w:tc>
        <w:tc>
          <w:tcPr>
            <w:tcW w:w="60" w:type="dxa"/>
            <w:tcBorders/>
            <w:shd w:fill="FFFFFF" w:val="clear"/>
            <w:vAlign w:val="center"/>
          </w:tcPr>
          <w:p>
            <w:pPr>
              <w:pStyle w:val="TableContents"/>
              <w:bidi w:val="0"/>
              <w:spacing w:before="0" w:after="283"/>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 euro</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jc w:val="left"/>
            </w:pPr>
            <w:r>
              <w:t> </w:t>
            </w:r>
          </w:p>
        </w:tc>
        <w:tc>
          <w:tcPr>
            <w:tcW w:w="692" w:type="dxa"/>
            <w:tcBorders/>
            <w:shd w:fill="FFFFFF" w:val="clear"/>
            <w:vAlign w:val="center"/>
          </w:tcPr>
          <w:p>
            <w:pPr>
              <w:pStyle w:val="TableContents"/>
              <w:bidi w:val="0"/>
              <w:spacing w:before="0" w:after="283"/>
              <w:jc w:val="right"/>
            </w:pPr>
            <w:r>
              <w:rPr>
                <w:rStyle w:val="Emphasis"/>
              </w:rPr>
              <w:t> </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Oct-2026</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Mexican peso</w:t>
            </w:r>
          </w:p>
        </w:tc>
        <w:tc>
          <w:tcPr>
            <w:tcW w:w="60" w:type="dxa"/>
            <w:tcBorders/>
            <w:shd w:fill="CCEEFF" w:val="clear"/>
            <w:vAlign w:val="center"/>
          </w:tcPr>
          <w:p>
            <w:pPr>
              <w:pStyle w:val="TableContents"/>
              <w:bidi w:val="0"/>
              <w:spacing w:before="0" w:after="0"/>
              <w:ind w:left="0" w:right="0" w:hanging="0"/>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w:t>
            </w:r>
          </w:p>
        </w:tc>
        <w:tc>
          <w:tcPr>
            <w:tcW w:w="60" w:type="dxa"/>
            <w:tcBorders/>
            <w:shd w:fill="CCEEFF" w:val="clear"/>
            <w:vAlign w:val="center"/>
          </w:tcPr>
          <w:p>
            <w:pPr>
              <w:pStyle w:val="TableContents"/>
              <w:bidi w:val="0"/>
              <w:spacing w:before="0" w:after="0"/>
              <w:ind w:left="0" w:right="0" w:hanging="0"/>
              <w:jc w:val="left"/>
            </w:pPr>
            <w:r>
              <w:t> </w:t>
            </w:r>
          </w:p>
        </w:tc>
        <w:tc>
          <w:tcPr>
            <w:tcW w:w="258" w:type="dxa"/>
            <w:tcBorders/>
            <w:shd w:fill="CCEEFF" w:val="clear"/>
            <w:vAlign w:val="center"/>
          </w:tcPr>
          <w:p>
            <w:pPr>
              <w:pStyle w:val="TableContents"/>
              <w:bidi w:val="0"/>
              <w:spacing w:before="0" w:after="0"/>
              <w:ind w:left="0" w:right="0" w:hanging="0"/>
              <w:jc w:val="left"/>
            </w:pPr>
            <w:r>
              <w:t> </w:t>
            </w:r>
          </w:p>
        </w:tc>
        <w:tc>
          <w:tcPr>
            <w:tcW w:w="692" w:type="dxa"/>
            <w:tcBorders/>
            <w:shd w:fill="CCEEFF" w:val="clear"/>
            <w:vAlign w:val="center"/>
          </w:tcPr>
          <w:p>
            <w:pPr>
              <w:pStyle w:val="TableContents"/>
              <w:bidi w:val="0"/>
              <w:spacing w:before="0" w:after="0"/>
              <w:ind w:left="0" w:right="0" w:hanging="0"/>
              <w:jc w:val="right"/>
            </w:pPr>
            <w:r>
              <w:rPr>
                <w:rStyle w:val="Emphasis"/>
              </w:rPr>
              <w:t> </w:t>
            </w:r>
          </w:p>
        </w:tc>
        <w:tc>
          <w:tcPr>
            <w:tcW w:w="85" w:type="dxa"/>
            <w:tcBorders/>
            <w:shd w:fill="CCEEFF" w:val="clear"/>
            <w:vAlign w:val="center"/>
          </w:tcPr>
          <w:p>
            <w:pPr>
              <w:pStyle w:val="TableContents"/>
              <w:bidi w:val="0"/>
              <w:spacing w:before="0" w:after="0"/>
              <w:ind w:left="0" w:right="0" w:hanging="0"/>
              <w:jc w:val="left"/>
            </w:pPr>
            <w:r>
              <w:t> </w:t>
            </w:r>
          </w:p>
        </w:tc>
        <w:tc>
          <w:tcPr>
            <w:tcW w:w="85" w:type="dxa"/>
            <w:tcBorders/>
            <w:shd w:fill="CCEEFF" w:val="clear"/>
            <w:vAlign w:val="center"/>
          </w:tcPr>
          <w:p>
            <w:pPr>
              <w:pStyle w:val="TableContents"/>
              <w:bidi w:val="0"/>
              <w:spacing w:before="0" w:after="0"/>
              <w:ind w:left="0" w:right="0" w:hanging="0"/>
              <w:jc w:val="left"/>
            </w:pPr>
            <w:r>
              <w:t> </w:t>
            </w:r>
          </w:p>
        </w:tc>
        <w:tc>
          <w:tcPr>
            <w:tcW w:w="315" w:type="dxa"/>
            <w:tcBorders/>
            <w:shd w:fill="CCEEFF" w:val="clear"/>
            <w:vAlign w:val="center"/>
          </w:tcPr>
          <w:p>
            <w:pPr>
              <w:pStyle w:val="TableContents"/>
              <w:bidi w:val="0"/>
              <w:spacing w:before="0" w:after="0"/>
              <w:ind w:left="0" w:right="0" w:hanging="0"/>
              <w:jc w:val="left"/>
            </w:pPr>
            <w: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5" w:type="dxa"/>
            <w:tcBorders/>
            <w:shd w:fill="CCEEFF" w:val="clear"/>
            <w:vAlign w:val="center"/>
          </w:tcPr>
          <w:p>
            <w:pPr>
              <w:pStyle w:val="TableContents"/>
              <w:bidi w:val="0"/>
              <w:spacing w:before="0" w:after="0"/>
              <w:ind w:left="0" w:right="0" w:hanging="0"/>
              <w:jc w:val="left"/>
            </w:pPr>
            <w:r>
              <w:t> </w:t>
            </w:r>
          </w:p>
        </w:tc>
        <w:tc>
          <w:tcPr>
            <w:tcW w:w="85" w:type="dxa"/>
            <w:tcBorders/>
            <w:shd w:fill="CCEEFF" w:val="clear"/>
            <w:vAlign w:val="center"/>
          </w:tcPr>
          <w:p>
            <w:pPr>
              <w:pStyle w:val="TableContents"/>
              <w:bidi w:val="0"/>
              <w:spacing w:before="0" w:after="0"/>
              <w:ind w:left="0" w:right="0" w:hanging="0"/>
              <w:jc w:val="left"/>
            </w:pPr>
            <w:r>
              <w:t> </w:t>
            </w:r>
          </w:p>
        </w:tc>
        <w:tc>
          <w:tcPr>
            <w:tcW w:w="177" w:type="dxa"/>
            <w:tcBorders/>
            <w:shd w:fill="CCEEFF" w:val="clear"/>
            <w:vAlign w:val="center"/>
          </w:tcPr>
          <w:p>
            <w:pPr>
              <w:pStyle w:val="TableContents"/>
              <w:bidi w:val="0"/>
              <w:spacing w:before="0" w:after="0"/>
              <w:ind w:left="0" w:right="0" w:hanging="0"/>
              <w:jc w:val="left"/>
            </w:pPr>
            <w: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Oct-2026</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Swedish krona</w:t>
            </w:r>
          </w:p>
        </w:tc>
        <w:tc>
          <w:tcPr>
            <w:tcW w:w="60" w:type="dxa"/>
            <w:tcBorders/>
            <w:shd w:fill="FFFFFF" w:val="clear"/>
            <w:vAlign w:val="center"/>
          </w:tcPr>
          <w:p>
            <w:pPr>
              <w:pStyle w:val="TableContents"/>
              <w:bidi w:val="0"/>
              <w:spacing w:before="0" w:after="283"/>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euro</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jc w:val="left"/>
            </w:pPr>
            <w:r>
              <w:t> </w:t>
            </w:r>
          </w:p>
        </w:tc>
        <w:tc>
          <w:tcPr>
            <w:tcW w:w="692" w:type="dxa"/>
            <w:tcBorders/>
            <w:shd w:fill="FFFFFF" w:val="clear"/>
            <w:vAlign w:val="center"/>
          </w:tcPr>
          <w:p>
            <w:pPr>
              <w:pStyle w:val="TableContents"/>
              <w:bidi w:val="0"/>
              <w:spacing w:before="0" w:after="283"/>
              <w:jc w:val="right"/>
            </w:pPr>
            <w:r>
              <w:rPr>
                <w:rStyle w:val="Emphasis"/>
              </w:rPr>
              <w:t> </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jc w:val="left"/>
            </w:pPr>
            <w: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Oct-2026</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Australian dollar</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0"/>
              <w:ind w:left="0" w:right="0" w:hanging="0"/>
              <w:jc w:val="center"/>
            </w:pPr>
            <w:r>
              <w:rPr>
                <w:rStyle w:val="Emphasis"/>
                <w:rFonts w:ascii="Times New Roman;Times;serif" w:hAnsi="Times New Roman;Times;serif"/>
                <w:sz w:val="20"/>
              </w:rPr>
              <w:t>U.S. dollar</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jc w:val="left"/>
            </w:pPr>
            <w:r>
              <w:t> </w:t>
            </w:r>
          </w:p>
        </w:tc>
        <w:tc>
          <w:tcPr>
            <w:tcW w:w="692" w:type="dxa"/>
            <w:tcBorders/>
            <w:shd w:fill="CCEEFF" w:val="clear"/>
            <w:vAlign w:val="center"/>
          </w:tcPr>
          <w:p>
            <w:pPr>
              <w:pStyle w:val="TableContents"/>
              <w:bidi w:val="0"/>
              <w:spacing w:before="0" w:after="283"/>
              <w:jc w:val="right"/>
            </w:pPr>
            <w:r>
              <w:rPr>
                <w:rStyle w:val="Emphasis"/>
              </w:rP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Oct-2026</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forward contracts</w:t>
            </w:r>
          </w:p>
        </w:tc>
        <w:tc>
          <w:tcPr>
            <w:tcW w:w="60" w:type="dxa"/>
            <w:tcBorders/>
            <w:shd w:fill="FFFFFF" w:val="clear"/>
            <w:vAlign w:val="center"/>
          </w:tcPr>
          <w:p>
            <w:pPr>
              <w:pStyle w:val="TableContents"/>
              <w:bidi w:val="0"/>
              <w:spacing w:before="0" w:after="283"/>
              <w:jc w:val="left"/>
            </w:pPr>
            <w:r>
              <w:t> </w:t>
            </w:r>
          </w:p>
        </w:tc>
        <w:tc>
          <w:tcPr>
            <w:tcW w:w="4364"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25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9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84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8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6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jc w:val="left"/>
            </w:pPr>
            <w:r>
              <w:t> </w:t>
            </w:r>
          </w:p>
        </w:tc>
        <w:tc>
          <w:tcPr>
            <w:tcW w:w="805" w:type="dxa"/>
            <w:tcBorders/>
            <w:shd w:fill="FFFFFF" w:val="clear"/>
            <w:vAlign w:val="center"/>
          </w:tcPr>
          <w:p>
            <w:pPr>
              <w:pStyle w:val="TableContents"/>
              <w:bidi w:val="0"/>
              <w:spacing w:before="0" w:after="283"/>
              <w:jc w:val="left"/>
            </w:pPr>
            <w:r>
              <w:rPr>
                <w:rStyle w:val="Emphasis"/>
              </w:rPr>
              <w:t> </w:t>
            </w:r>
          </w:p>
        </w:tc>
      </w:tr>
      <w:tr>
        <w:tc>
          <w:tcPr>
            <w:tcW w:w="14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283"/>
              <w:jc w:val="center"/>
            </w:pPr>
            <w:r>
              <w:t> </w:t>
            </w:r>
          </w:p>
        </w:tc>
        <w:tc>
          <w:tcPr>
            <w:tcW w:w="60" w:type="dxa"/>
            <w:tcBorders/>
            <w:shd w:fill="CCEEFF" w:val="clear"/>
            <w:vAlign w:val="center"/>
          </w:tcPr>
          <w:p>
            <w:pPr>
              <w:pStyle w:val="TableContents"/>
              <w:bidi w:val="0"/>
              <w:spacing w:before="0" w:after="283"/>
              <w:jc w:val="left"/>
            </w:pPr>
            <w:r>
              <w:t> </w:t>
            </w:r>
          </w:p>
        </w:tc>
        <w:tc>
          <w:tcPr>
            <w:tcW w:w="258" w:type="dxa"/>
            <w:tcBorders/>
            <w:shd w:fill="CCEEFF" w:val="clear"/>
            <w:vAlign w:val="center"/>
          </w:tcPr>
          <w:p>
            <w:pPr>
              <w:pStyle w:val="TableContents"/>
              <w:bidi w:val="0"/>
              <w:spacing w:before="0" w:after="283"/>
              <w:jc w:val="left"/>
            </w:pPr>
            <w:r>
              <w:t> </w:t>
            </w:r>
          </w:p>
        </w:tc>
        <w:tc>
          <w:tcPr>
            <w:tcW w:w="692"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shd w:fill="CCEEFF" w:val="clear"/>
            <w:vAlign w:val="center"/>
          </w:tcPr>
          <w:p>
            <w:pPr>
              <w:pStyle w:val="TableContents"/>
              <w:bidi w:val="0"/>
              <w:spacing w:before="0" w:after="283"/>
              <w:jc w:val="left"/>
            </w:pPr>
            <w:r>
              <w:t> </w:t>
            </w:r>
          </w:p>
        </w:tc>
        <w:tc>
          <w:tcPr>
            <w:tcW w:w="689"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283"/>
              <w:jc w:val="left"/>
            </w:pPr>
            <w:r>
              <w:t> </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dollar</w:t>
            </w:r>
          </w:p>
        </w:tc>
        <w:tc>
          <w:tcPr>
            <w:tcW w:w="60" w:type="dxa"/>
            <w:tcBorders/>
            <w:shd w:fill="FFFFFF" w:val="clear"/>
            <w:vAlign w:val="center"/>
          </w:tcPr>
          <w:p>
            <w:pPr>
              <w:pStyle w:val="TableContents"/>
              <w:bidi w:val="0"/>
              <w:spacing w:before="0" w:after="283"/>
              <w:ind w:left="0" w:right="0" w:hanging="0"/>
              <w:jc w:val="left"/>
            </w:pPr>
            <w:r>
              <w:t> </w:t>
            </w:r>
          </w:p>
        </w:tc>
        <w:tc>
          <w:tcPr>
            <w:tcW w:w="4364"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sz w:val="20"/>
              </w:rPr>
              <w:t>euro</w:t>
            </w:r>
          </w:p>
        </w:tc>
        <w:tc>
          <w:tcPr>
            <w:tcW w:w="60" w:type="dxa"/>
            <w:tcBorders/>
            <w:shd w:fill="FFFFFF" w:val="clear"/>
            <w:vAlign w:val="center"/>
          </w:tcPr>
          <w:p>
            <w:pPr>
              <w:pStyle w:val="TableContents"/>
              <w:bidi w:val="0"/>
              <w:spacing w:before="0" w:after="283"/>
              <w:jc w:val="left"/>
            </w:pPr>
            <w:r>
              <w:t> </w:t>
            </w:r>
          </w:p>
        </w:tc>
        <w:tc>
          <w:tcPr>
            <w:tcW w:w="258" w:type="dxa"/>
            <w:tcBorders/>
            <w:shd w:fill="FFFFFF" w:val="clear"/>
            <w:vAlign w:val="center"/>
          </w:tcPr>
          <w:p>
            <w:pPr>
              <w:pStyle w:val="TableContents"/>
              <w:bidi w:val="0"/>
              <w:spacing w:before="0" w:after="283"/>
              <w:ind w:left="0" w:right="0" w:hanging="0"/>
              <w:jc w:val="left"/>
            </w:pPr>
            <w:r>
              <w:t> </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31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pPr>
            <w:r>
              <w:t>—</w:t>
            </w:r>
          </w:p>
        </w:tc>
        <w:tc>
          <w:tcPr>
            <w:tcW w:w="85"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c>
          <w:tcPr>
            <w:tcW w:w="177" w:type="dxa"/>
            <w:tcBorders/>
            <w:shd w:fill="FFFFFF" w:val="clear"/>
            <w:vAlign w:val="center"/>
          </w:tcPr>
          <w:p>
            <w:pPr>
              <w:pStyle w:val="TableContents"/>
              <w:bidi w:val="0"/>
              <w:spacing w:before="0" w:after="283"/>
              <w:ind w:left="0" w:right="0" w:hanging="0"/>
              <w:jc w:val="left"/>
            </w:pPr>
            <w: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shd w:fill="FFFFFF" w:val="cle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Nov-2027</w:t>
            </w:r>
          </w:p>
        </w:tc>
      </w:tr>
      <w:tr>
        <w:tc>
          <w:tcPr>
            <w:tcW w:w="1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currency swaps</w:t>
            </w:r>
          </w:p>
        </w:tc>
        <w:tc>
          <w:tcPr>
            <w:tcW w:w="60" w:type="dxa"/>
            <w:tcBorders/>
            <w:shd w:fill="CCEEFF" w:val="clear"/>
            <w:vAlign w:val="center"/>
          </w:tcPr>
          <w:p>
            <w:pPr>
              <w:pStyle w:val="TableContents"/>
              <w:bidi w:val="0"/>
              <w:spacing w:before="0" w:after="283"/>
              <w:jc w:val="left"/>
            </w:pPr>
            <w:r>
              <w:t> </w:t>
            </w:r>
          </w:p>
        </w:tc>
        <w:tc>
          <w:tcPr>
            <w:tcW w:w="4364" w:type="dxa"/>
            <w:tcBorders/>
            <w:shd w:fill="CCEEFF" w:val="clear"/>
            <w:vAlign w:val="center"/>
          </w:tcPr>
          <w:p>
            <w:pPr>
              <w:pStyle w:val="TableContents"/>
              <w:bidi w:val="0"/>
              <w:spacing w:before="0" w:after="283"/>
              <w:jc w:val="left"/>
            </w:pPr>
            <w:r>
              <w:rPr>
                <w:rStyle w:val="Emphasis"/>
              </w:rPr>
              <w:t> </w:t>
            </w:r>
          </w:p>
        </w:tc>
        <w:tc>
          <w:tcPr>
            <w:tcW w:w="60" w:type="dxa"/>
            <w:tcBorders/>
            <w:shd w:fill="CCEEFF" w:val="clear"/>
            <w:vAlign w:val="center"/>
          </w:tcPr>
          <w:p>
            <w:pPr>
              <w:pStyle w:val="TableContents"/>
              <w:bidi w:val="0"/>
              <w:spacing w:before="0" w:after="283"/>
              <w:jc w:val="left"/>
            </w:pPr>
            <w:r>
              <w:t> </w:t>
            </w:r>
          </w:p>
        </w:tc>
        <w:tc>
          <w:tcPr>
            <w:tcW w:w="258"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6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31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84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pPr>
            <w:r>
              <w:t>—</w:t>
            </w:r>
          </w:p>
        </w:tc>
        <w:tc>
          <w:tcPr>
            <w:tcW w:w="8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jc w:val="left"/>
            </w:pPr>
            <w:r>
              <w:t> </w:t>
            </w:r>
          </w:p>
        </w:tc>
        <w:tc>
          <w:tcPr>
            <w:tcW w:w="85" w:type="dxa"/>
            <w:tcBorders/>
            <w:shd w:fill="CCEEFF" w:val="clear"/>
            <w:vAlign w:val="center"/>
          </w:tcPr>
          <w:p>
            <w:pPr>
              <w:pStyle w:val="TableContents"/>
              <w:bidi w:val="0"/>
              <w:spacing w:before="0" w:after="283"/>
              <w:jc w:val="left"/>
            </w:pPr>
            <w:r>
              <w:t> </w:t>
            </w:r>
          </w:p>
        </w:tc>
        <w:tc>
          <w:tcPr>
            <w:tcW w:w="17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68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pPr>
            <w:r>
              <w:t> </w:t>
            </w:r>
          </w:p>
        </w:tc>
        <w:tc>
          <w:tcPr>
            <w:tcW w:w="60" w:type="dxa"/>
            <w:tcBorders/>
            <w:shd w:fill="CCEEFF" w:val="clear"/>
            <w:vAlign w:val="center"/>
          </w:tcPr>
          <w:p>
            <w:pPr>
              <w:pStyle w:val="TableContents"/>
              <w:bidi w:val="0"/>
              <w:spacing w:before="0" w:after="283"/>
              <w:jc w:val="left"/>
            </w:pPr>
            <w:r>
              <w:t> </w:t>
            </w:r>
          </w:p>
        </w:tc>
        <w:tc>
          <w:tcPr>
            <w:tcW w:w="805" w:type="dxa"/>
            <w:tcBorders/>
            <w:shd w:fill="CCEEFF" w:val="clear"/>
            <w:vAlign w:val="center"/>
          </w:tcPr>
          <w:p>
            <w:pPr>
              <w:pStyle w:val="TableContents"/>
              <w:bidi w:val="0"/>
              <w:spacing w:before="0" w:after="283"/>
              <w:jc w:val="left"/>
            </w:pPr>
            <w:r>
              <w:rPr>
                <w:rStyle w:val="Emphasis"/>
              </w:rPr>
              <w:t> </w:t>
            </w:r>
          </w:p>
        </w:tc>
      </w:tr>
      <w:tr>
        <w:tc>
          <w:tcPr>
            <w:tcW w:w="1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currency derivatives</w:t>
            </w:r>
          </w:p>
        </w:tc>
        <w:tc>
          <w:tcPr>
            <w:tcW w:w="60" w:type="dxa"/>
            <w:tcBorders/>
            <w:shd w:fill="FFFFFF" w:val="clear"/>
            <w:vAlign w:val="center"/>
          </w:tcPr>
          <w:p>
            <w:pPr>
              <w:pStyle w:val="TableContents"/>
              <w:bidi w:val="0"/>
              <w:spacing w:before="0" w:after="283"/>
              <w:jc w:val="left"/>
            </w:pPr>
            <w:r>
              <w:t> </w:t>
            </w:r>
          </w:p>
        </w:tc>
        <w:tc>
          <w:tcPr>
            <w:tcW w:w="4364"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ind w:left="0" w:right="0" w:hanging="0"/>
              <w:jc w:val="left"/>
            </w:pPr>
            <w: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ind w:left="0" w:right="0" w:hanging="0"/>
              <w:jc w:val="left"/>
            </w:pPr>
            <w: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jc w:val="left"/>
            </w:pPr>
            <w:r>
              <w:t> </w:t>
            </w:r>
          </w:p>
        </w:tc>
        <w:tc>
          <w:tcPr>
            <w:tcW w:w="805" w:type="dxa"/>
            <w:tcBorders/>
            <w:shd w:fill="FFFFFF" w:val="clear"/>
            <w:vAlign w:val="center"/>
          </w:tcPr>
          <w:p>
            <w:pPr>
              <w:pStyle w:val="TableContents"/>
              <w:bidi w:val="0"/>
              <w:spacing w:before="0" w:after="283"/>
              <w:jc w:val="left"/>
            </w:pPr>
            <w:r>
              <w:rPr>
                <w:rStyle w:val="Emphasis"/>
              </w:rP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rPr>
          <w:rFonts w:ascii="Times New Roman;Times;serif" w:hAnsi="Times New Roman;Times;serif"/>
          <w:i/>
          <w:sz w:val="20"/>
        </w:rPr>
        <w:t>Designated cash flow hedges</w:t>
      </w:r>
      <w:r>
        <w:rPr>
          <w:rFonts w:ascii="Times New Roman;Times;serif" w:hAnsi="Times New Roman;Times;serif"/>
          <w:sz w:val="20"/>
        </w:rPr>
        <w:t xml:space="preserve"> — With respect to contracts designated as cash flow hedges, changes in fair value during the period in which the contracts remain outstanding are reported in OCI to the extent such contracts remain effective. Effectiveness is measured by using regression analysis to determine the degree of correlation between the change in the fair value of the derivative instrument and the change in the associated foreign currency exchange rates. Changes in the fair value of contracts </w:t>
      </w:r>
      <w:r>
        <w:rPr>
          <w:rStyle w:val="Emphasis"/>
          <w:rFonts w:ascii="Times New Roman;Times;serif" w:hAnsi="Times New Roman;Times;serif"/>
          <w:sz w:val="20"/>
        </w:rPr>
        <w:t>not</w:t>
      </w:r>
      <w:r>
        <w:rPr>
          <w:rFonts w:ascii="Times New Roman;Times;serif" w:hAnsi="Times New Roman;Times;serif"/>
          <w:sz w:val="20"/>
        </w:rPr>
        <w:t xml:space="preserve"> designated as cash flow hedges or as net investment hedges are recognized in other income (expense), net in the period in which the changes occur. Realized gains and losses from currency-related forward contracts associated with forecasted transactions or from other derivative instruments, including those that have been designated as cash flow hedges and those that have </w:t>
      </w:r>
      <w:r>
        <w:rPr>
          <w:rStyle w:val="Emphasis"/>
          <w:rFonts w:ascii="Times New Roman;Times;serif" w:hAnsi="Times New Roman;Times;serif"/>
          <w:sz w:val="20"/>
        </w:rPr>
        <w:t>not</w:t>
      </w:r>
      <w:r>
        <w:rPr>
          <w:rFonts w:ascii="Times New Roman;Times;serif" w:hAnsi="Times New Roman;Times;serif"/>
          <w:sz w:val="20"/>
        </w:rPr>
        <w:t xml:space="preserve"> been designated, are recognized in the same line item in the consolidated statement of operations in which the underlying forecasted transaction or other hedged item is recorded. Accordingly, amounts are potentially recorded in sales, cost of sales or, in certain circumstances, other income (expense), net.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The following table provides a summary of deferred gains (losses) reported in AOCI as well as the amount expected to be reclassified to income in </w:t>
      </w:r>
      <w:r>
        <w:rPr>
          <w:rStyle w:val="Emphasis"/>
          <w:rFonts w:ascii="Times New Roman;Times;serif" w:hAnsi="Times New Roman;Times;serif"/>
          <w:sz w:val="20"/>
        </w:rPr>
        <w:t>one</w:t>
      </w:r>
      <w:r>
        <w:rPr>
          <w:rFonts w:ascii="Times New Roman;Times;serif" w:hAnsi="Times New Roman;Times;serif"/>
          <w:sz w:val="20"/>
        </w:rPr>
        <w:t xml:space="preserve"> year or less: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744"/>
        <w:gridCol w:w="60"/>
        <w:gridCol w:w="756"/>
        <w:gridCol w:w="757"/>
        <w:gridCol w:w="120"/>
        <w:gridCol w:w="120"/>
        <w:gridCol w:w="516"/>
        <w:gridCol w:w="951"/>
        <w:gridCol w:w="120"/>
        <w:gridCol w:w="120"/>
        <w:gridCol w:w="2436"/>
        <w:gridCol w:w="2441"/>
        <w:gridCol w:w="64"/>
      </w:tblGrid>
      <w:tr>
        <w:tc>
          <w:tcPr>
            <w:tcW w:w="174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3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Deferred Gain (Loss) in AOCI</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44"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September 30, 2026</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14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December 31, 2025</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4877" w:type="dxa"/>
            <w:gridSpan w:val="2"/>
            <w:tcBorders>
              <w:bottom w:val="single" w:sz="2" w:space="0" w:color="000000"/>
            </w:tcBorders>
            <w:shd w:fill="FFFFFF" w:val="clear"/>
            <w:tcMar>
              <w:bottom w:w="28" w:type="dxa"/>
            </w:tcMar>
            <w:vAlign w:val="center"/>
          </w:tcPr>
          <w:p>
            <w:pPr>
              <w:pStyle w:val="TableContents"/>
              <w:bidi w:val="0"/>
              <w:spacing w:before="0" w:after="283"/>
              <w:jc w:val="center"/>
            </w:pPr>
            <w:r>
              <w:rPr>
                <w:rStyle w:val="Emphasis"/>
                <w:rFonts w:ascii="Times New Roman;Times;serif" w:hAnsi="Times New Roman;Times;serif"/>
                <w:color w:val="000000"/>
                <w:sz w:val="20"/>
              </w:rPr>
              <w:t>Gain (loss) expected to be reclassified into income in one year or less</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Contracts</w:t>
            </w:r>
          </w:p>
        </w:tc>
        <w:tc>
          <w:tcPr>
            <w:tcW w:w="60" w:type="dxa"/>
            <w:tcBorders/>
            <w:shd w:fill="CCEEFF" w:val="clear"/>
            <w:vAlign w:val="center"/>
          </w:tcPr>
          <w:p>
            <w:pPr>
              <w:pStyle w:val="TableContents"/>
              <w:bidi w:val="0"/>
              <w:spacing w:before="0" w:after="283"/>
              <w:ind w:left="0" w:right="0" w:hanging="0"/>
              <w:jc w:val="left"/>
            </w:pPr>
            <w:r>
              <w:t> </w:t>
            </w:r>
          </w:p>
        </w:tc>
        <w:tc>
          <w:tcPr>
            <w:tcW w:w="7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2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4" w:type="dxa"/>
            <w:tcBorders/>
            <w:shd w:fill="CCEEFF" w:val="clear"/>
            <w:vAlign w:val="center"/>
          </w:tcPr>
          <w:p>
            <w:pPr>
              <w:pStyle w:val="TableContents"/>
              <w:bidi w:val="0"/>
              <w:spacing w:before="0" w:after="283"/>
              <w:ind w:left="0" w:right="0" w:hanging="0"/>
              <w:jc w:val="left"/>
            </w:pPr>
            <w:r>
              <w:t> </w:t>
            </w:r>
          </w:p>
        </w:tc>
      </w:tr>
      <w:t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60" w:type="dxa"/>
            <w:tcBorders/>
            <w:shd w:fill="FFFFFF" w:val="clear"/>
            <w:vAlign w:val="center"/>
          </w:tcPr>
          <w:p>
            <w:pPr>
              <w:pStyle w:val="TableContents"/>
              <w:bidi w:val="0"/>
              <w:spacing w:before="0" w:after="283"/>
              <w:jc w:val="left"/>
            </w:pPr>
            <w: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jc w:val="left"/>
            </w:pPr>
            <w:r>
              <w:t> </w:t>
            </w:r>
          </w:p>
        </w:tc>
        <w:tc>
          <w:tcPr>
            <w:tcW w:w="243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441" w:type="dxa"/>
            <w:tcBorders>
              <w:bottom w:val="single" w:sz="2" w:space="0" w:color="000000"/>
            </w:tcBorders>
            <w:shd w:fill="FFFFFF" w:val="clear"/>
            <w:tcMar>
              <w:bottom w:w="28" w:type="dxa"/>
            </w:tcMar>
            <w:vAlign w:val="center"/>
          </w:tcPr>
          <w:p>
            <w:pPr>
              <w:pStyle w:val="TableContents"/>
              <w:bidi w:val="0"/>
              <w:spacing w:before="0" w:after="283"/>
              <w:jc w:val="right"/>
            </w:pPr>
            <w:r>
              <w:rPr>
                <w:rStyle w:val="Emphasis"/>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pPr>
            <w:r>
              <w:t> </w:t>
            </w:r>
          </w:p>
        </w:tc>
      </w:tr>
      <w:tr>
        <w:tc>
          <w:tcPr>
            <w:tcW w:w="1744"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7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2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summary of the location and amount of gains or losses recognized in the consolidated statement of operations associated with cash flow hedging relationships: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892"/>
        <w:gridCol w:w="60"/>
        <w:gridCol w:w="140"/>
        <w:gridCol w:w="547"/>
        <w:gridCol w:w="89"/>
        <w:gridCol w:w="67"/>
        <w:gridCol w:w="140"/>
        <w:gridCol w:w="547"/>
        <w:gridCol w:w="80"/>
        <w:gridCol w:w="60"/>
        <w:gridCol w:w="137"/>
        <w:gridCol w:w="534"/>
        <w:gridCol w:w="87"/>
        <w:gridCol w:w="65"/>
        <w:gridCol w:w="137"/>
        <w:gridCol w:w="534"/>
        <w:gridCol w:w="89"/>
      </w:tblGrid>
      <w:tr>
        <w:tc>
          <w:tcPr>
            <w:tcW w:w="68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4"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9" w:type="dxa"/>
            <w:tcBorders/>
            <w:shd w:fill="FFFFFF" w:val="clear"/>
            <w:vAlign w:val="center"/>
          </w:tcPr>
          <w:p>
            <w:pPr>
              <w:pStyle w:val="TableContents"/>
              <w:bidi w:val="0"/>
              <w:spacing w:before="0" w:after="283"/>
              <w:jc w:val="left"/>
            </w:pPr>
            <w:r>
              <w:t> </w:t>
            </w:r>
          </w:p>
        </w:tc>
      </w:tr>
      <w:tr>
        <w:tc>
          <w:tcPr>
            <w:tcW w:w="689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689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 as Cash Flow Hedges</w:t>
            </w:r>
          </w:p>
        </w:tc>
        <w:tc>
          <w:tcPr>
            <w:tcW w:w="60" w:type="dxa"/>
            <w:tcBorders/>
            <w:shd w:fill="FFFFFF" w:val="clear"/>
            <w:vAlign w:val="center"/>
          </w:tcPr>
          <w:p>
            <w:pPr>
              <w:pStyle w:val="TableContents"/>
              <w:bidi w:val="0"/>
              <w:spacing w:before="0" w:after="283"/>
              <w:ind w:left="0" w:right="0" w:hanging="0"/>
              <w:jc w:val="left"/>
            </w:pPr>
            <w: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6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689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of income and expense line items presented in the consolidated statement of operations in which the effects of cash flow hedges are recorded</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360" w:right="0" w:hanging="0"/>
              <w:jc w:val="left"/>
            </w:pPr>
            <w:r>
              <w:t> </w:t>
            </w:r>
          </w:p>
        </w:tc>
      </w:tr>
      <w:tr>
        <w:tc>
          <w:tcPr>
            <w:tcW w:w="689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pPr>
            <w: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ind w:left="0" w:right="0" w:hanging="0"/>
              <w:jc w:val="left"/>
            </w:pPr>
            <w: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89" w:type="dxa"/>
            <w:tcBorders/>
            <w:shd w:fill="FFFFFF" w:val="clear"/>
            <w:vAlign w:val="center"/>
          </w:tcPr>
          <w:p>
            <w:pPr>
              <w:pStyle w:val="TableContents"/>
              <w:bidi w:val="0"/>
              <w:spacing w:before="0" w:after="283"/>
              <w:ind w:left="360" w:right="0" w:hanging="0"/>
              <w:jc w:val="left"/>
            </w:pPr>
            <w:r>
              <w:t> </w:t>
            </w:r>
          </w:p>
        </w:tc>
      </w:tr>
      <w:tr>
        <w:tc>
          <w:tcPr>
            <w:tcW w:w="689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ind w:left="0" w:right="0" w:hanging="0"/>
              <w:jc w:val="left"/>
            </w:pPr>
            <w:r>
              <w:t> </w:t>
            </w:r>
          </w:p>
        </w:tc>
        <w:tc>
          <w:tcPr>
            <w:tcW w:w="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8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ind w:left="0" w:right="0" w:hanging="0"/>
              <w:jc w:val="left"/>
            </w:pPr>
            <w:r>
              <w:t> </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p>
        </w:tc>
        <w:tc>
          <w:tcPr>
            <w:tcW w:w="89" w:type="dxa"/>
            <w:tcBorders/>
            <w:shd w:fill="CCEEFF" w:val="clear"/>
            <w:vAlign w:val="center"/>
          </w:tcPr>
          <w:p>
            <w:pPr>
              <w:pStyle w:val="TableContents"/>
              <w:bidi w:val="0"/>
              <w:spacing w:before="0" w:after="283"/>
              <w:ind w:left="360" w:right="0" w:hanging="0"/>
              <w:jc w:val="left"/>
            </w:pPr>
            <w:r>
              <w:t> </w:t>
            </w:r>
          </w:p>
        </w:tc>
      </w:tr>
      <w:tr>
        <w:tc>
          <w:tcPr>
            <w:tcW w:w="6892"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689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or loss on cash flow hedging relationships</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180" w:right="0" w:hanging="0"/>
              <w:jc w:val="left"/>
            </w:pPr>
            <w:r>
              <w:t> </w:t>
            </w:r>
          </w:p>
        </w:tc>
      </w:tr>
      <w:tr>
        <w:tc>
          <w:tcPr>
            <w:tcW w:w="68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547"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54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534"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534"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ind w:left="360" w:right="0" w:hanging="0"/>
              <w:jc w:val="left"/>
            </w:pPr>
            <w:r>
              <w:t> </w:t>
            </w:r>
          </w:p>
        </w:tc>
      </w:tr>
      <w:tr>
        <w:tc>
          <w:tcPr>
            <w:tcW w:w="689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(gain) loss reclassified from AOCI into income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540" w:right="0" w:hanging="0"/>
              <w:jc w:val="left"/>
            </w:pPr>
            <w:r>
              <w:t> </w:t>
            </w:r>
          </w:p>
        </w:tc>
      </w:tr>
      <w:tr>
        <w:tc>
          <w:tcPr>
            <w:tcW w:w="689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9" w:type="dxa"/>
            <w:tcBorders/>
            <w:shd w:fill="FFFFFF" w:val="clear"/>
            <w:vAlign w:val="center"/>
          </w:tcPr>
          <w:p>
            <w:pPr>
              <w:pStyle w:val="TableContents"/>
              <w:bidi w:val="0"/>
              <w:spacing w:before="0" w:after="283"/>
              <w:jc w:val="left"/>
            </w:pPr>
            <w:r>
              <w:t> </w:t>
            </w:r>
          </w:p>
        </w:tc>
      </w:tr>
      <w:tr>
        <w:tc>
          <w:tcPr>
            <w:tcW w:w="689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9"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c>
          <w:tcPr>
            <w:tcW w:w="689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Cross-currency swaps</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547"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jc w:val="left"/>
            </w:pPr>
            <w:r>
              <w:t> </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jc w:val="left"/>
            </w:pPr>
            <w:r>
              <w:t> </w:t>
            </w:r>
          </w:p>
        </w:tc>
        <w:tc>
          <w:tcPr>
            <w:tcW w:w="547"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534" w:type="dxa"/>
            <w:tcBorders/>
            <w:shd w:fill="FFFFFF" w:val="cle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jc w:val="left"/>
            </w:pPr>
            <w:r>
              <w:t> </w:t>
            </w:r>
          </w:p>
        </w:tc>
        <w:tc>
          <w:tcPr>
            <w:tcW w:w="534" w:type="dxa"/>
            <w:tcBorders/>
            <w:shd w:fill="FFFFFF" w:val="cle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ind w:left="360" w:right="0" w:hanging="0"/>
              <w:jc w:val="left"/>
            </w:pPr>
            <w:r>
              <w:t> </w:t>
            </w:r>
          </w:p>
        </w:tc>
      </w:tr>
      <w:tr>
        <w:tc>
          <w:tcPr>
            <w:tcW w:w="6892"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(gain) loss reclassified from AOCI into income</w:t>
            </w:r>
          </w:p>
        </w:tc>
        <w:tc>
          <w:tcPr>
            <w:tcW w:w="60"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jc w:val="left"/>
            </w:pPr>
            <w:r>
              <w:t> </w:t>
            </w:r>
          </w:p>
        </w:tc>
        <w:tc>
          <w:tcPr>
            <w:tcW w:w="67" w:type="dxa"/>
            <w:tcBorders/>
            <w:shd w:fill="CCEEFF" w:val="clear"/>
            <w:vAlign w:val="center"/>
          </w:tcPr>
          <w:p>
            <w:pPr>
              <w:pStyle w:val="TableContents"/>
              <w:bidi w:val="0"/>
              <w:spacing w:before="0" w:after="283"/>
              <w:jc w:val="left"/>
            </w:pPr>
            <w:r>
              <w:t> </w:t>
            </w:r>
          </w:p>
        </w:tc>
        <w:tc>
          <w:tcPr>
            <w:tcW w:w="140" w:type="dxa"/>
            <w:tcBorders/>
            <w:shd w:fill="CCEEFF" w:val="clear"/>
            <w:vAlign w:val="center"/>
          </w:tcPr>
          <w:p>
            <w:pPr>
              <w:pStyle w:val="TableContents"/>
              <w:bidi w:val="0"/>
              <w:spacing w:before="0" w:after="283"/>
              <w:jc w:val="left"/>
            </w:pPr>
            <w:r>
              <w:t> </w:t>
            </w:r>
          </w:p>
        </w:tc>
        <w:tc>
          <w:tcPr>
            <w:tcW w:w="547"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7" w:type="dxa"/>
            <w:tcBorders/>
            <w:shd w:fill="CCEEFF" w:val="clear"/>
            <w:vAlign w:val="center"/>
          </w:tcPr>
          <w:p>
            <w:pPr>
              <w:pStyle w:val="TableContents"/>
              <w:bidi w:val="0"/>
              <w:spacing w:before="0" w:after="283"/>
              <w:jc w:val="left"/>
            </w:pPr>
            <w:r>
              <w:t> </w:t>
            </w:r>
          </w:p>
        </w:tc>
        <w:tc>
          <w:tcPr>
            <w:tcW w:w="534" w:type="dxa"/>
            <w:tcBorders/>
            <w:shd w:fill="CCEEFF" w:val="cle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540" w:right="0" w:hanging="0"/>
              <w:jc w:val="left"/>
            </w:pPr>
            <w:r>
              <w:t> </w:t>
            </w:r>
          </w:p>
        </w:tc>
      </w:tr>
      <w:tr>
        <w:tc>
          <w:tcPr>
            <w:tcW w:w="6892"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pPr>
            <w:r>
              <w:t> </w:t>
            </w:r>
          </w:p>
        </w:tc>
        <w:tc>
          <w:tcPr>
            <w:tcW w:w="140" w:type="dxa"/>
            <w:tcBorders/>
            <w:shd w:fill="FFFFFF" w:val="clear"/>
            <w:vAlign w:val="center"/>
          </w:tcPr>
          <w:p>
            <w:pPr>
              <w:pStyle w:val="TableContents"/>
              <w:bidi w:val="0"/>
              <w:spacing w:before="0" w:after="283"/>
              <w:ind w:left="0" w:right="0" w:hanging="0"/>
              <w:jc w:val="left"/>
            </w:pPr>
            <w:r>
              <w:t> </w:t>
            </w:r>
          </w:p>
        </w:tc>
        <w:tc>
          <w:tcPr>
            <w:tcW w:w="5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pPr>
            <w:r>
              <w:t> </w:t>
            </w:r>
          </w:p>
        </w:tc>
        <w:tc>
          <w:tcPr>
            <w:tcW w:w="137" w:type="dxa"/>
            <w:tcBorders/>
            <w:shd w:fill="FFFFFF" w:val="clear"/>
            <w:vAlign w:val="center"/>
          </w:tcPr>
          <w:p>
            <w:pPr>
              <w:pStyle w:val="TableContents"/>
              <w:bidi w:val="0"/>
              <w:spacing w:before="0" w:after="283"/>
              <w:ind w:left="0" w:right="0" w:hanging="0"/>
              <w:jc w:val="left"/>
            </w:pPr>
            <w:r>
              <w:t> </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9" w:type="dxa"/>
            <w:tcBorders/>
            <w:shd w:fill="FFFFFF" w:val="clear"/>
            <w:vAlign w:val="center"/>
          </w:tcPr>
          <w:p>
            <w:pPr>
              <w:pStyle w:val="TableContents"/>
              <w:bidi w:val="0"/>
              <w:spacing w:before="0" w:after="283"/>
              <w:jc w:val="left"/>
            </w:pPr>
            <w:r>
              <w:t> </w:t>
            </w:r>
          </w:p>
        </w:tc>
      </w:tr>
    </w:tbl>
    <w:p>
      <w:pPr>
        <w:pStyle w:val="TextBody"/>
        <w:bidi w:val="0"/>
        <w:spacing w:before="0" w:after="283"/>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amounts reclassified from AOCI into income for the cross-currency swaps represent an offset to a foreign exchange loss on our foreign currency-denominated intercompany and external debt instruments.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Certain of our hedges of forecasted transactions have </w:t>
      </w:r>
      <w:r>
        <w:rPr>
          <w:rStyle w:val="Emphasis"/>
          <w:rFonts w:ascii="Times New Roman;Times;serif" w:hAnsi="Times New Roman;Times;serif"/>
          <w:sz w:val="20"/>
        </w:rPr>
        <w:t>not</w:t>
      </w:r>
      <w:r>
        <w:rPr>
          <w:rFonts w:ascii="Times New Roman;Times;serif" w:hAnsi="Times New Roman;Times;serif"/>
          <w:sz w:val="20"/>
        </w:rPr>
        <w:t xml:space="preserve"> formally been designated as cash flow hedges. As undesignated forward contracts, the changes in the fair value of such contracts are included in earnings for the duration of the outstanding forward contract. Any realized gain or loss on the settlement of such contracts is recognized in the same period and in the same line item in the consolidated statement of operations as the underlying transaction. The following table provides a summary of the location and amount of gains or losses recognized in the consolidated statement of operations associated with undesignated hedging relationships.</w:t>
      </w:r>
    </w:p>
    <w:p>
      <w:pPr>
        <w:pStyle w:val="TextBody"/>
        <w:bidi w:val="0"/>
        <w:spacing w:before="0" w:after="0"/>
        <w:ind w:left="0" w:right="0" w:hanging="0"/>
        <w:jc w:val="left"/>
      </w:pPr>
      <w:r>
        <w:t> </w:t>
      </w:r>
    </w:p>
    <w:tbl>
      <w:tblPr>
        <w:tblW w:w="7836" w:type="dxa"/>
        <w:jc w:val="left"/>
        <w:tblInd w:w="0" w:type="dxa"/>
        <w:tblLayout w:type="fixed"/>
        <w:tblCellMar>
          <w:top w:w="0" w:type="dxa"/>
          <w:left w:w="0" w:type="dxa"/>
          <w:bottom w:w="0" w:type="dxa"/>
          <w:right w:w="0" w:type="dxa"/>
        </w:tblCellMar>
      </w:tblPr>
      <w:tblGrid>
        <w:gridCol w:w="4205"/>
        <w:gridCol w:w="60"/>
        <w:gridCol w:w="266"/>
        <w:gridCol w:w="490"/>
        <w:gridCol w:w="170"/>
        <w:gridCol w:w="127"/>
        <w:gridCol w:w="266"/>
        <w:gridCol w:w="394"/>
        <w:gridCol w:w="80"/>
        <w:gridCol w:w="60"/>
        <w:gridCol w:w="261"/>
        <w:gridCol w:w="261"/>
        <w:gridCol w:w="125"/>
        <w:gridCol w:w="125"/>
        <w:gridCol w:w="261"/>
        <w:gridCol w:w="605"/>
        <w:gridCol w:w="80"/>
      </w:tblGrid>
      <w:tr>
        <w:tc>
          <w:tcPr>
            <w:tcW w:w="42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42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 as Hedging Instruments</w:t>
            </w:r>
          </w:p>
        </w:tc>
        <w:tc>
          <w:tcPr>
            <w:tcW w:w="60" w:type="dxa"/>
            <w:tcBorders/>
            <w:shd w:fill="FFFFFF" w:val="clear"/>
            <w:vAlign w:val="center"/>
          </w:tcPr>
          <w:p>
            <w:pPr>
              <w:pStyle w:val="TableContents"/>
              <w:bidi w:val="0"/>
              <w:spacing w:before="0" w:after="283"/>
              <w:ind w:left="0" w:right="0" w:hanging="0"/>
              <w:jc w:val="left"/>
            </w:pPr>
            <w:r>
              <w:t> </w:t>
            </w:r>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ind w:left="0" w:right="0" w:hanging="0"/>
              <w:jc w:val="left"/>
            </w:pPr>
            <w:r>
              <w:t> </w:t>
            </w:r>
          </w:p>
        </w:tc>
        <w:tc>
          <w:tcPr>
            <w:tcW w:w="6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recognized in income</w:t>
            </w:r>
          </w:p>
        </w:tc>
        <w:tc>
          <w:tcPr>
            <w:tcW w:w="60" w:type="dxa"/>
            <w:tcBorders/>
            <w:shd w:fill="CCEEFF" w:val="clear"/>
            <w:vAlign w:val="center"/>
          </w:tcPr>
          <w:p>
            <w:pPr>
              <w:pStyle w:val="TableContents"/>
              <w:bidi w:val="0"/>
              <w:spacing w:before="0" w:after="283"/>
              <w:jc w:val="left"/>
            </w:pPr>
            <w:r>
              <w:t> </w:t>
            </w:r>
          </w:p>
        </w:tc>
        <w:tc>
          <w:tcPr>
            <w:tcW w:w="266"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266" w:type="dxa"/>
            <w:tcBorders/>
            <w:shd w:fill="CCEEFF" w:val="clear"/>
            <w:vAlign w:val="center"/>
          </w:tcPr>
          <w:p>
            <w:pPr>
              <w:pStyle w:val="TableContents"/>
              <w:bidi w:val="0"/>
              <w:spacing w:before="0" w:after="283"/>
              <w:jc w:val="left"/>
            </w:pPr>
            <w:r>
              <w:t> </w:t>
            </w:r>
          </w:p>
        </w:tc>
        <w:tc>
          <w:tcPr>
            <w:tcW w:w="39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261" w:type="dxa"/>
            <w:tcBorders/>
            <w:shd w:fill="CCEEFF" w:val="clear"/>
            <w:vAlign w:val="center"/>
          </w:tcPr>
          <w:p>
            <w:pPr>
              <w:pStyle w:val="TableContents"/>
              <w:bidi w:val="0"/>
              <w:spacing w:before="0" w:after="283"/>
              <w:jc w:val="left"/>
            </w:pPr>
            <w:r>
              <w:t> </w:t>
            </w:r>
          </w:p>
        </w:tc>
        <w:tc>
          <w:tcPr>
            <w:tcW w:w="6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ind w:left="180" w:right="0" w:hanging="0"/>
              <w:jc w:val="left"/>
            </w:pPr>
            <w:r>
              <w:t> </w:t>
            </w:r>
          </w:p>
        </w:tc>
      </w:tr>
      <w:tr>
        <w:tc>
          <w:tcPr>
            <w:tcW w:w="42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FFFFFF" w:val="clear"/>
            <w:vAlign w:val="center"/>
          </w:tcPr>
          <w:p>
            <w:pPr>
              <w:pStyle w:val="TableContents"/>
              <w:bidi w:val="0"/>
              <w:spacing w:before="0" w:after="283"/>
              <w:jc w:val="left"/>
            </w:pPr>
            <w:r>
              <w:t> </w:t>
            </w:r>
          </w:p>
        </w:tc>
        <w:tc>
          <w:tcPr>
            <w:tcW w:w="266" w:type="dxa"/>
            <w:tcBorders/>
            <w:shd w:fill="FFFFFF" w:val="clear"/>
            <w:vAlign w:val="center"/>
          </w:tcPr>
          <w:p>
            <w:pPr>
              <w:pStyle w:val="TableContents"/>
              <w:bidi w:val="0"/>
              <w:spacing w:before="0" w:after="283"/>
              <w:jc w:val="left"/>
            </w:pPr>
            <w:r>
              <w:t> </w:t>
            </w:r>
          </w:p>
        </w:tc>
        <w:tc>
          <w:tcPr>
            <w:tcW w:w="49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266" w:type="dxa"/>
            <w:tcBorders/>
            <w:shd w:fill="FFFFFF" w:val="clear"/>
            <w:vAlign w:val="center"/>
          </w:tcPr>
          <w:p>
            <w:pPr>
              <w:pStyle w:val="TableContents"/>
              <w:bidi w:val="0"/>
              <w:spacing w:before="0" w:after="283"/>
              <w:jc w:val="left"/>
            </w:pPr>
            <w:r>
              <w:t> </w:t>
            </w:r>
          </w:p>
        </w:tc>
        <w:tc>
          <w:tcPr>
            <w:tcW w:w="39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jc w:val="left"/>
            </w:pPr>
            <w:r>
              <w:t> </w:t>
            </w:r>
          </w:p>
        </w:tc>
        <w:tc>
          <w:tcPr>
            <w:tcW w:w="6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ind w:left="360" w:right="0" w:hanging="0"/>
              <w:jc w:val="left"/>
            </w:pPr>
            <w:r>
              <w:t> </w:t>
            </w:r>
          </w:p>
        </w:tc>
      </w:tr>
      <w:t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pPr>
            <w: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ind w:left="0" w:right="0" w:hanging="0"/>
              <w:jc w:val="left"/>
            </w:pPr>
            <w: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5"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ind w:left="360" w:right="0" w:hanging="0"/>
              <w:jc w:val="left"/>
            </w:pPr>
            <w:r>
              <w:t> </w:t>
            </w:r>
          </w:p>
        </w:tc>
      </w:tr>
      <w:tr>
        <w:tc>
          <w:tcPr>
            <w:tcW w:w="420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pPr>
            <w:r>
              <w:t> </w:t>
            </w:r>
          </w:p>
        </w:tc>
        <w:tc>
          <w:tcPr>
            <w:tcW w:w="266"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7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266" w:type="dxa"/>
            <w:tcBorders/>
            <w:shd w:fill="FFFFFF" w:val="clear"/>
            <w:vAlign w:val="center"/>
          </w:tcPr>
          <w:p>
            <w:pPr>
              <w:pStyle w:val="TableContents"/>
              <w:bidi w:val="0"/>
              <w:spacing w:before="0" w:after="283"/>
              <w:ind w:left="0" w:right="0" w:hanging="0"/>
              <w:jc w:val="left"/>
            </w:pPr>
            <w:r>
              <w:t> </w:t>
            </w:r>
          </w:p>
        </w:tc>
        <w:tc>
          <w:tcPr>
            <w:tcW w:w="3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ind w:left="0" w:right="0" w:hanging="0"/>
              <w:jc w:val="left"/>
            </w:pPr>
            <w:r>
              <w:t> </w:t>
            </w:r>
          </w:p>
        </w:tc>
        <w:tc>
          <w:tcPr>
            <w:tcW w:w="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5"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261" w:type="dxa"/>
            <w:tcBorders/>
            <w:shd w:fill="FFFFFF" w:val="clear"/>
            <w:vAlign w:val="center"/>
          </w:tcPr>
          <w:p>
            <w:pPr>
              <w:pStyle w:val="TableContents"/>
              <w:bidi w:val="0"/>
              <w:spacing w:before="0" w:after="283"/>
              <w:ind w:left="0" w:right="0" w:hanging="0"/>
              <w:jc w:val="left"/>
            </w:pPr>
            <w: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Net investment hedges</w:t>
      </w:r>
      <w:r>
        <w:rPr>
          <w:rFonts w:ascii="Times New Roman;Times;serif" w:hAnsi="Times New Roman;Times;serif"/>
          <w:sz w:val="20"/>
        </w:rPr>
        <w:t xml:space="preserve"> — We periodically designate derivative contracts or underlying non-derivative financial instruments as net investment hedges. With respect to contracts designated as net investment hedges, we apply the forward method, but for non-derivative financial instruments designated as net investment hedges, we apply the spot method. Under both methods, we report changes in fair value in the cumulative translation adjustment (CTA) component of OCI during the period in which the contracts remain outstanding to the extent such contracts and non-derivative financial instruments remain effective.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we entered into foreign currency forwards with a notional value of $100 that we designated as a net investment hedge of the foreign currency exposure related to a China renminbi denominated subsidiary. These forwards matured in </w:t>
      </w:r>
      <w:r>
        <w:rPr>
          <w:rStyle w:val="Emphasis"/>
          <w:rFonts w:ascii="Times New Roman;Times;serif" w:hAnsi="Times New Roman;Times;serif"/>
          <w:sz w:val="20"/>
        </w:rPr>
        <w:t xml:space="preserve">September 2025. </w:t>
      </w:r>
      <w:r>
        <w:rPr>
          <w:rFonts w:ascii="Times New Roman;Times;serif" w:hAnsi="Times New Roman;Times;serif"/>
          <w:sz w:val="20"/>
        </w:rPr>
        <w:t xml:space="preserve">During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2024,</w:t>
      </w:r>
      <w:r>
        <w:rPr>
          <w:rFonts w:ascii="Times New Roman;Times;serif" w:hAnsi="Times New Roman;Times;serif"/>
          <w:sz w:val="20"/>
        </w:rPr>
        <w:t xml:space="preserve"> we entered into foreign currency forwards with a notional value of $122 that we designated as a net investment hedge of the foreign currency exposure related to a euro denominated subsidiary. These forwards matured in </w:t>
      </w:r>
      <w:r>
        <w:rPr>
          <w:rStyle w:val="Emphasis"/>
          <w:rFonts w:ascii="Times New Roman;Times;serif" w:hAnsi="Times New Roman;Times;serif"/>
          <w:sz w:val="20"/>
        </w:rPr>
        <w:t>November 2025.</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19" w:name="fn13"/>
      <w:bookmarkEnd w:id="19"/>
      <w:r>
        <w:rPr>
          <w:rFonts w:ascii="Times New Roman;Times;serif" w:hAnsi="Times New Roman;Times;serif"/>
          <w:b/>
          <w:sz w:val="20"/>
        </w:rPr>
        <w:t xml:space="preserve">Note </w:t>
      </w:r>
      <w:r>
        <w:rPr>
          <w:rStyle w:val="Emphasis"/>
          <w:rFonts w:ascii="Times New Roman;Times;serif" w:hAnsi="Times New Roman;Times;serif"/>
          <w:b/>
          <w:sz w:val="20"/>
        </w:rPr>
        <w:t>12.</w:t>
      </w:r>
      <w:r>
        <w:rPr>
          <w:rFonts w:ascii="Times New Roman;Times;serif" w:hAnsi="Times New Roman;Times;serif"/>
          <w:b/>
          <w:sz w:val="20"/>
        </w:rPr>
        <w:t xml:space="preserve"> Commitments and Contingencies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Environmental liabilities</w:t>
      </w:r>
      <w:r>
        <w:rPr>
          <w:rFonts w:ascii="Times New Roman;Times;serif" w:hAnsi="Times New Roman;Times;serif"/>
          <w:sz w:val="20"/>
        </w:rPr>
        <w:t xml:space="preserve"> — Accrued environmental liabilities were $12 at </w:t>
      </w:r>
      <w:r>
        <w:rPr>
          <w:rStyle w:val="Emphasis"/>
          <w:rFonts w:ascii="Times New Roman;Times;serif" w:hAnsi="Times New Roman;Times;serif"/>
          <w:sz w:val="20"/>
        </w:rPr>
        <w:t xml:space="preserve"> September 30, 2026</w:t>
      </w:r>
      <w:r>
        <w:rPr>
          <w:rFonts w:ascii="Times New Roman;Times;serif" w:hAnsi="Times New Roman;Times;serif"/>
          <w:sz w:val="20"/>
        </w:rPr>
        <w:t xml:space="preserve"> and $14 at </w:t>
      </w:r>
      <w:r>
        <w:rPr>
          <w:rStyle w:val="Emphasis"/>
          <w:rFonts w:ascii="Times New Roman;Times;serif" w:hAnsi="Times New Roman;Times;serif"/>
          <w:sz w:val="20"/>
        </w:rPr>
        <w:t xml:space="preserve"> 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We consider the most probable method of remediation, current laws and regulations and existing technology in estimating our environmental liabilities.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Other legal matters</w:t>
      </w:r>
      <w:r>
        <w:rPr>
          <w:rFonts w:ascii="Times New Roman;Times;serif" w:hAnsi="Times New Roman;Times;serif"/>
          <w:sz w:val="20"/>
        </w:rPr>
        <w:t xml:space="preserve"> — We are subject to various pending or threatened legal proceedings arising out of the normal course of business or operations. In view of the inherent difficulty of predicting the outcome of such matters, we cannot state the eventual outcome of these matters. However, based on current knowledge and after consultation with legal counsel, we believe that any liabilities that </w:t>
      </w:r>
      <w:r>
        <w:rPr>
          <w:rStyle w:val="Emphasis"/>
          <w:rFonts w:ascii="Times New Roman;Times;serif" w:hAnsi="Times New Roman;Times;serif"/>
          <w:sz w:val="20"/>
        </w:rPr>
        <w:t xml:space="preserve">may </w:t>
      </w:r>
      <w:r>
        <w:rPr>
          <w:rFonts w:ascii="Times New Roman;Times;serif" w:hAnsi="Times New Roman;Times;serif"/>
          <w:sz w:val="20"/>
        </w:rPr>
        <w:t xml:space="preserve">result from these proceedings will </w:t>
      </w:r>
      <w:r>
        <w:rPr>
          <w:rStyle w:val="Emphasis"/>
          <w:rFonts w:ascii="Times New Roman;Times;serif" w:hAnsi="Times New Roman;Times;serif"/>
          <w:sz w:val="20"/>
        </w:rPr>
        <w:t>not</w:t>
      </w:r>
      <w:r>
        <w:rPr>
          <w:rFonts w:ascii="Times New Roman;Times;serif" w:hAnsi="Times New Roman;Times;serif"/>
          <w:sz w:val="20"/>
        </w:rPr>
        <w:t xml:space="preserve"> have a material adverse effect on our liquidity, financial condition or results of operations.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Tariffs</w:t>
      </w:r>
      <w:r>
        <w:rPr>
          <w:rFonts w:ascii="Times New Roman;Times;serif" w:hAnsi="Times New Roman;Times;serif"/>
          <w:sz w:val="20"/>
        </w:rPr>
        <w:t xml:space="preserve"> — In </w:t>
      </w:r>
      <w:r>
        <w:rPr>
          <w:rStyle w:val="Emphasis"/>
          <w:rFonts w:ascii="Times New Roman;Times;serif" w:hAnsi="Times New Roman;Times;serif"/>
          <w:sz w:val="20"/>
        </w:rPr>
        <w:t xml:space="preserve">February 2026, </w:t>
      </w:r>
      <w:r>
        <w:rPr>
          <w:rFonts w:ascii="Times New Roman;Times;serif" w:hAnsi="Times New Roman;Times;serif"/>
          <w:sz w:val="20"/>
        </w:rPr>
        <w:t xml:space="preserve">the U.S. Supreme Court issued a ruling invalidating certain tariffs previously imposed under the International Emergency Economic Powers Act (IEEPA). The U.S. Court of International Trade (CIT) has ordered the U.S. Customs and Border Protection (CBP) to refund the collected IEEPA tariffs.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filed for refunds of previously paid tariffs assessed under IEEPA in an aggregate amount of $26 under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of the process established by the CBP. We expect to file immaterial refunds under Phase </w:t>
      </w:r>
      <w:r>
        <w:rPr>
          <w:rStyle w:val="Emphasis"/>
          <w:rFonts w:ascii="Times New Roman;Times;serif" w:hAnsi="Times New Roman;Times;serif"/>
          <w:sz w:val="20"/>
        </w:rPr>
        <w:t>3</w:t>
      </w:r>
      <w:r>
        <w:rPr>
          <w:rFonts w:ascii="Times New Roman;Times;serif" w:hAnsi="Times New Roman;Times;serif"/>
          <w:sz w:val="20"/>
        </w:rPr>
        <w:t xml:space="preserve"> during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2026,</w:t>
      </w:r>
      <w:r>
        <w:rPr>
          <w:rFonts w:ascii="Times New Roman;Times;serif" w:hAnsi="Times New Roman;Times;serif"/>
          <w:sz w:val="20"/>
        </w:rPr>
        <w:t xml:space="preserve"> we determined it was probable that we would recover the IEEPA refunds filed under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As such, we recorded the $26 recoverable to accounts receivable - other along with a corresponding reduction of cost of sales. As we previously invoiced our customers for reimbursement of IEEPA tariffs paid, we have recorded an offsetting obligation due to our customers to accounts receivable - trade with a corresponding reduction of net sales. As of </w:t>
      </w:r>
      <w:r>
        <w:rPr>
          <w:rStyle w:val="Emphasis"/>
          <w:rFonts w:ascii="Times New Roman;Times;serif" w:hAnsi="Times New Roman;Times;serif"/>
          <w:sz w:val="20"/>
        </w:rPr>
        <w:t xml:space="preserve">September 30, 2026, </w:t>
      </w:r>
      <w:r>
        <w:rPr>
          <w:rFonts w:ascii="Times New Roman;Times;serif" w:hAnsi="Times New Roman;Times;serif"/>
          <w:sz w:val="20"/>
        </w:rPr>
        <w:t xml:space="preserve">we have collected substantially all Phase </w:t>
      </w:r>
      <w:r>
        <w:rPr>
          <w:rStyle w:val="Emphasis"/>
          <w:rFonts w:ascii="Times New Roman;Times;serif" w:hAnsi="Times New Roman;Times;serif"/>
          <w:sz w:val="20"/>
        </w:rPr>
        <w:t>1</w:t>
      </w:r>
      <w:r>
        <w:rPr>
          <w:rFonts w:ascii="Times New Roman;Times;serif" w:hAnsi="Times New Roman;Times;serif"/>
          <w:sz w:val="20"/>
        </w:rPr>
        <w:t xml:space="preserve"> and Phase </w:t>
      </w:r>
      <w:r>
        <w:rPr>
          <w:rStyle w:val="Emphasis"/>
          <w:rFonts w:ascii="Times New Roman;Times;serif" w:hAnsi="Times New Roman;Times;serif"/>
          <w:sz w:val="20"/>
        </w:rPr>
        <w:t>2</w:t>
      </w:r>
      <w:r>
        <w:rPr>
          <w:rFonts w:ascii="Times New Roman;Times;serif" w:hAnsi="Times New Roman;Times;serif"/>
          <w:sz w:val="20"/>
        </w:rPr>
        <w:t xml:space="preserve"> refunds. </w:t>
      </w:r>
    </w:p>
    <w:p>
      <w:pPr>
        <w:pStyle w:val="TextBody"/>
        <w:bidi w:val="0"/>
        <w:spacing w:before="0" w:after="283"/>
        <w:jc w:val="left"/>
      </w:pPr>
      <w:r>
        <w:t xml:space="preserve">  </w:t>
      </w:r>
    </w:p>
    <w:p>
      <w:pPr>
        <w:pStyle w:val="TextBody"/>
        <w:bidi w:val="0"/>
        <w:spacing w:before="0" w:after="0"/>
        <w:ind w:left="0" w:right="0" w:hanging="0"/>
        <w:jc w:val="left"/>
      </w:pPr>
      <w:bookmarkStart w:id="20" w:name="fn14"/>
      <w:bookmarkEnd w:id="20"/>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xml:space="preserve"> Warranty Obligations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record a liability for estimated warranty obligations at the dates our products are sold. We record the liability based on our estimate of costs to settle future claims. Adjustments to our estimated costs at time of sale are made as claim experience and other new information becomes available. Obligations for service campaigns and other occurrences are recognized as adjustments to prior estimates when the obligation is probable and can be reasonably estimated.</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warranty liabilities</w:t>
      </w:r>
      <w:r>
        <w:rPr>
          <w:rFonts w:ascii="Times New Roman;Times;serif" w:hAnsi="Times New Roman;Times;serif"/>
          <w:sz w:val="20"/>
        </w:rPr>
        <w:t xml:space="preserve"> — </w:t>
      </w:r>
    </w:p>
    <w:p>
      <w:pPr>
        <w:pStyle w:val="TextBody"/>
        <w:bidi w:val="0"/>
        <w:spacing w:before="0" w:after="0"/>
        <w:ind w:left="0" w:right="0" w:hanging="0"/>
        <w:jc w:val="left"/>
      </w:pPr>
      <w:r>
        <w:t> </w:t>
      </w:r>
    </w:p>
    <w:tbl>
      <w:tblPr>
        <w:tblW w:w="6951" w:type="dxa"/>
        <w:jc w:val="left"/>
        <w:tblInd w:w="0" w:type="dxa"/>
        <w:tblLayout w:type="fixed"/>
        <w:tblCellMar>
          <w:top w:w="0" w:type="dxa"/>
          <w:left w:w="0" w:type="dxa"/>
          <w:bottom w:w="0" w:type="dxa"/>
          <w:right w:w="0" w:type="dxa"/>
        </w:tblCellMar>
      </w:tblPr>
      <w:tblGrid>
        <w:gridCol w:w="3320"/>
        <w:gridCol w:w="60"/>
        <w:gridCol w:w="221"/>
        <w:gridCol w:w="512"/>
        <w:gridCol w:w="141"/>
        <w:gridCol w:w="106"/>
        <w:gridCol w:w="221"/>
        <w:gridCol w:w="512"/>
        <w:gridCol w:w="80"/>
        <w:gridCol w:w="60"/>
        <w:gridCol w:w="211"/>
        <w:gridCol w:w="490"/>
        <w:gridCol w:w="135"/>
        <w:gridCol w:w="101"/>
        <w:gridCol w:w="211"/>
        <w:gridCol w:w="490"/>
        <w:gridCol w:w="80"/>
      </w:tblGrid>
      <w:tr>
        <w:tc>
          <w:tcPr>
            <w:tcW w:w="33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ind w:left="0" w:right="0" w:hanging="0"/>
              <w:jc w:val="left"/>
            </w:pPr>
            <w: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ind w:left="0" w:right="0" w:hanging="0"/>
              <w:jc w:val="left"/>
            </w:pPr>
            <w: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35"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accrued for current period sales</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1"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35"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pPr>
            <w:r>
              <w:t> </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of prior estimates</w:t>
            </w:r>
          </w:p>
        </w:tc>
        <w:tc>
          <w:tcPr>
            <w:tcW w:w="60"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35"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of warranty claims</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impact</w:t>
            </w:r>
          </w:p>
        </w:tc>
        <w:tc>
          <w:tcPr>
            <w:tcW w:w="60"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pPr>
            <w:r>
              <w:rPr>
                <w:rStyle w:val="Emphasis"/>
              </w:rPr>
              <w:t> </w:t>
            </w:r>
          </w:p>
        </w:tc>
        <w:tc>
          <w:tcPr>
            <w:tcW w:w="135"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pPr>
            <w:r>
              <w:t> </w:t>
            </w:r>
          </w:p>
        </w:tc>
      </w:tr>
      <w:t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pPr>
            <w:r>
              <w:t> </w:t>
            </w:r>
          </w:p>
        </w:tc>
        <w:tc>
          <w:tcPr>
            <w:tcW w:w="22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4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ind w:left="0" w:right="0" w:hanging="0"/>
              <w:jc w:val="left"/>
            </w:pPr>
            <w:r>
              <w:t> </w:t>
            </w:r>
          </w:p>
        </w:tc>
        <w:tc>
          <w:tcPr>
            <w:tcW w:w="22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3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ind w:left="0" w:right="0" w:hanging="0"/>
              <w:jc w:val="left"/>
            </w:pPr>
            <w:r>
              <w:t> </w:t>
            </w:r>
          </w:p>
        </w:tc>
        <w:tc>
          <w:tcPr>
            <w:tcW w:w="21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pPr>
            <w:r>
              <w:t> </w:t>
            </w:r>
          </w:p>
        </w:tc>
      </w:tr>
    </w:tbl>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21" w:name="fn15"/>
      <w:bookmarkEnd w:id="21"/>
      <w:r>
        <w:rPr>
          <w:rFonts w:ascii="Times New Roman;Times;serif" w:hAnsi="Times New Roman;Times;serif"/>
          <w:b/>
          <w:sz w:val="20"/>
        </w:rPr>
        <w:t xml:space="preserve">Note </w:t>
      </w:r>
      <w:r>
        <w:rPr>
          <w:rStyle w:val="Emphasis"/>
          <w:rFonts w:ascii="Times New Roman;Times;serif" w:hAnsi="Times New Roman;Times;serif"/>
          <w:b/>
          <w:sz w:val="20"/>
        </w:rPr>
        <w:t>14.</w:t>
      </w:r>
      <w:r>
        <w:rPr>
          <w:rFonts w:ascii="Times New Roman;Times;serif" w:hAnsi="Times New Roman;Times;serif"/>
          <w:b/>
          <w:sz w:val="20"/>
        </w:rPr>
        <w:t xml:space="preserve"> Income Taxes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estimate the effective tax rate expected to be applicable for the full fiscal year and use that rate to provide for income taxes in interim reporting periods. We also recognize the tax impact of certain unusual or infrequently occurring items, including changes in judgment about valuation allowances and effects of changes in tax laws or rates, in the interim period in which they occur.</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We have generally </w:t>
      </w:r>
      <w:r>
        <w:rPr>
          <w:rStyle w:val="Emphasis"/>
          <w:rFonts w:ascii="Times New Roman;Times;serif" w:hAnsi="Times New Roman;Times;serif"/>
          <w:sz w:val="20"/>
        </w:rPr>
        <w:t>not</w:t>
      </w:r>
      <w:r>
        <w:rPr>
          <w:rFonts w:ascii="Times New Roman;Times;serif" w:hAnsi="Times New Roman;Times;serif"/>
          <w:sz w:val="20"/>
        </w:rPr>
        <w:t xml:space="preserve"> recognized tax benefits on losses generated in several entities where the recent history of operating losses does </w:t>
      </w:r>
      <w:r>
        <w:rPr>
          <w:rStyle w:val="Emphasis"/>
          <w:rFonts w:ascii="Times New Roman;Times;serif" w:hAnsi="Times New Roman;Times;serif"/>
          <w:sz w:val="20"/>
        </w:rPr>
        <w:t>not</w:t>
      </w:r>
      <w:r>
        <w:rPr>
          <w:rFonts w:ascii="Times New Roman;Times;serif" w:hAnsi="Times New Roman;Times;serif"/>
          <w:sz w:val="20"/>
        </w:rPr>
        <w:t xml:space="preserve"> allow us to satisfy the “more likely than </w:t>
      </w:r>
      <w:r>
        <w:rPr>
          <w:rStyle w:val="Emphasis"/>
          <w:rFonts w:ascii="Times New Roman;Times;serif" w:hAnsi="Times New Roman;Times;serif"/>
          <w:sz w:val="20"/>
        </w:rPr>
        <w:t>not”</w:t>
      </w:r>
      <w:r>
        <w:rPr>
          <w:rFonts w:ascii="Times New Roman;Times;serif" w:hAnsi="Times New Roman;Times;serif"/>
          <w:sz w:val="20"/>
        </w:rPr>
        <w:t xml:space="preserve"> criterion for the recognition of deferred tax assets. Consequently, there is </w:t>
      </w:r>
      <w:r>
        <w:rPr>
          <w:rStyle w:val="Emphasis"/>
          <w:rFonts w:ascii="Times New Roman;Times;serif" w:hAnsi="Times New Roman;Times;serif"/>
          <w:sz w:val="20"/>
        </w:rPr>
        <w:t>no</w:t>
      </w:r>
      <w:r>
        <w:rPr>
          <w:rFonts w:ascii="Times New Roman;Times;serif" w:hAnsi="Times New Roman;Times;serif"/>
          <w:sz w:val="20"/>
        </w:rPr>
        <w:t xml:space="preserve"> income tax expense or benefit recognized on the pre-tax income or losses in these jurisdictions as valuation allowances are adjusted to offset the associated tax expense or benefit.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We record interest and penalties related to uncertain tax positions as a component of income tax expense. Net interest expense for the periods presented herein is </w:t>
      </w:r>
      <w:r>
        <w:rPr>
          <w:rStyle w:val="Emphasis"/>
          <w:rFonts w:ascii="Times New Roman;Times;serif" w:hAnsi="Times New Roman;Times;serif"/>
          <w:sz w:val="20"/>
        </w:rPr>
        <w:t>not</w:t>
      </w:r>
      <w:r>
        <w:rPr>
          <w:rFonts w:ascii="Times New Roman;Times;serif" w:hAnsi="Times New Roman;Times;serif"/>
          <w:sz w:val="20"/>
        </w:rPr>
        <w:t xml:space="preserve"> significant.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We reported income tax expense of $64 and income tax benefit of ($2) for the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 quarters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and income tax expense of $132 and income tax benefit of ($2) for the respective year-to-date periods. Our effective tax rates were 123% and (4%) for the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September 30,</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recorded $29 of income tax expense resulting from the settlement of an income tax audit in a foreign jurisdiction, income tax benefit of $12 associated with a change in tax status for a foreign entity, and $12 of income tax expense due to revisions in our assertions on unremitted earnings in foreign jurisdictions.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we recorded income tax benefit of $27 to release valuation allowance on certain U.S. federal attributes, $19 of income tax benefit due to a basis difference in a foreign subsidiary as a result of a change in tax status, $9 of income tax expense for income tax reserves associated with prior tax years in foreign jurisdictions, $6 of income tax expense due to revisions in our assertions on unremitted earnings in foreign jurisdictions and income tax expense of $6 resulting from the sale of Dana's ownership interest in an equity method investment.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vary significantly due to fluctuations in the amounts and sources, both foreign and domestic, of pretax income and changes in the amounts of non-deductible expenses.</w:t>
      </w:r>
    </w:p>
    <w:p>
      <w:pPr>
        <w:pStyle w:val="TextBody"/>
        <w:bidi w:val="0"/>
        <w:spacing w:before="0" w:after="0"/>
        <w:ind w:left="16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One Big Beautiful Bill Act (OBBBA) was enacted in the U.S. The OBBBA includes significant provisions, such as the permanent extension of certain expiring provisions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Tax Cuts and Jobs Act, modifications to the international tax framework, and the restoration of favorable tax treatment for certain business provisions. The legislation has multiple effective dates, with certain provisions effective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others implemented through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The Company has evaluated the provisions of the Act and reflected the impact during the appropriate period. The Company will continue to evaluate the impact of these legislative changes as more guidance becomes available.</w:t>
      </w:r>
    </w:p>
    <w:p>
      <w:pPr>
        <w:pStyle w:val="TextBody"/>
        <w:bidi w:val="0"/>
        <w:spacing w:before="0" w:after="0"/>
        <w:ind w:left="0" w:right="0" w:firstLine="360"/>
        <w:jc w:val="left"/>
      </w:pPr>
      <w:r>
        <w:t> </w:t>
      </w:r>
    </w:p>
    <w:p>
      <w:pPr>
        <w:pStyle w:val="TextBody"/>
        <w:bidi w:val="0"/>
        <w:spacing w:before="0" w:after="0"/>
        <w:jc w:val="cente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22" w:name="fn16"/>
      <w:bookmarkEnd w:id="22"/>
      <w:r>
        <w:rPr>
          <w:rFonts w:ascii="Times New Roman;Times;serif" w:hAnsi="Times New Roman;Times;serif"/>
          <w:b/>
          <w:sz w:val="20"/>
        </w:rPr>
        <w:t xml:space="preserve">Note </w:t>
      </w:r>
      <w:r>
        <w:rPr>
          <w:rStyle w:val="Emphasis"/>
          <w:rFonts w:ascii="Times New Roman;Times;serif" w:hAnsi="Times New Roman;Times;serif"/>
          <w:b/>
          <w:sz w:val="20"/>
        </w:rPr>
        <w:t>15.</w:t>
      </w:r>
      <w:r>
        <w:rPr>
          <w:rFonts w:ascii="Times New Roman;Times;serif" w:hAnsi="Times New Roman;Times;serif"/>
          <w:b/>
          <w:sz w:val="20"/>
        </w:rPr>
        <w:t xml:space="preserve"> Other Income (Expense), Net</w:t>
      </w:r>
      <w:r>
        <w:rPr>
          <w:rFonts w:ascii="Times New Roman;Times;serif" w:hAnsi="Times New Roman;Times;serif"/>
          <w:sz w:val="20"/>
        </w:rPr>
        <w:t> </w:t>
      </w:r>
    </w:p>
    <w:p>
      <w:pPr>
        <w:pStyle w:val="TextBody"/>
        <w:bidi w:val="0"/>
        <w:spacing w:before="0" w:after="0"/>
        <w:ind w:left="0" w:right="0" w:hanging="0"/>
        <w:jc w:val="left"/>
      </w:pPr>
      <w:r>
        <w:t> </w:t>
      </w:r>
    </w:p>
    <w:tbl>
      <w:tblPr>
        <w:tblW w:w="8271" w:type="dxa"/>
        <w:jc w:val="left"/>
        <w:tblInd w:w="0" w:type="dxa"/>
        <w:tblLayout w:type="fixed"/>
        <w:tblCellMar>
          <w:top w:w="0" w:type="dxa"/>
          <w:left w:w="0" w:type="dxa"/>
          <w:bottom w:w="0" w:type="dxa"/>
          <w:right w:w="0" w:type="dxa"/>
        </w:tblCellMar>
      </w:tblPr>
      <w:tblGrid>
        <w:gridCol w:w="4640"/>
        <w:gridCol w:w="60"/>
        <w:gridCol w:w="221"/>
        <w:gridCol w:w="512"/>
        <w:gridCol w:w="141"/>
        <w:gridCol w:w="106"/>
        <w:gridCol w:w="221"/>
        <w:gridCol w:w="512"/>
        <w:gridCol w:w="80"/>
        <w:gridCol w:w="60"/>
        <w:gridCol w:w="211"/>
        <w:gridCol w:w="490"/>
        <w:gridCol w:w="135"/>
        <w:gridCol w:w="101"/>
        <w:gridCol w:w="211"/>
        <w:gridCol w:w="490"/>
        <w:gridCol w:w="80"/>
      </w:tblGrid>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4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ind w:left="0" w:right="0" w:hanging="0"/>
              <w:jc w:val="left"/>
            </w:pPr>
            <w: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ind w:left="0" w:right="0" w:hanging="0"/>
              <w:jc w:val="left"/>
            </w:pPr>
            <w:r>
              <w:t> </w:t>
            </w:r>
          </w:p>
        </w:tc>
        <w:tc>
          <w:tcPr>
            <w:tcW w:w="7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pPr>
            <w: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pPr>
            <w:r>
              <w:t>—</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ind w:left="0" w:right="0" w:hanging="0"/>
              <w:jc w:val="left"/>
            </w:pPr>
            <w: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pPr>
            <w: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assistance</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141"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35"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ind w:left="0" w:right="0" w:hanging="0"/>
              <w:jc w:val="left"/>
            </w:pPr>
            <w: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ind w:left="0" w:right="0" w:hanging="0"/>
              <w:jc w:val="left"/>
            </w:pPr>
            <w:r>
              <w:t> </w:t>
            </w:r>
          </w:p>
        </w:tc>
        <w:tc>
          <w:tcPr>
            <w:tcW w:w="5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5"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4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sale of property, plant and equipment</w:t>
            </w:r>
          </w:p>
        </w:tc>
        <w:tc>
          <w:tcPr>
            <w:tcW w:w="60"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pPr>
            <w:r>
              <w:rPr>
                <w:rStyle w:val="Emphasis"/>
              </w:rPr>
              <w:t> </w:t>
            </w:r>
          </w:p>
        </w:tc>
        <w:tc>
          <w:tcPr>
            <w:tcW w:w="135" w:type="dxa"/>
            <w:tcBorders/>
            <w:shd w:fill="CCEEFF" w:val="cle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ind w:left="0" w:right="0" w:hanging="0"/>
              <w:jc w:val="left"/>
            </w:pPr>
            <w:r>
              <w:t> </w:t>
            </w:r>
          </w:p>
        </w:tc>
        <w:tc>
          <w:tcPr>
            <w:tcW w:w="5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jc w:val="left"/>
            </w:pPr>
            <w:r>
              <w:t> </w:t>
            </w:r>
          </w:p>
        </w:tc>
        <w:tc>
          <w:tcPr>
            <w:tcW w:w="490"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141" w:type="dxa"/>
            <w:tcBorders/>
            <w:shd w:fill="CCEEFF" w:val="cle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1" w:type="dxa"/>
            <w:tcBorders/>
            <w:shd w:fill="CCEEFF" w:val="clear"/>
            <w:vAlign w:val="center"/>
          </w:tcPr>
          <w:p>
            <w:pPr>
              <w:pStyle w:val="TableContents"/>
              <w:bidi w:val="0"/>
              <w:spacing w:before="0" w:after="283"/>
              <w:jc w:val="left"/>
            </w:pPr>
            <w:r>
              <w:t> </w:t>
            </w:r>
          </w:p>
        </w:tc>
        <w:tc>
          <w:tcPr>
            <w:tcW w:w="5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4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income</w:t>
            </w:r>
          </w:p>
        </w:tc>
        <w:tc>
          <w:tcPr>
            <w:tcW w:w="60"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41" w:type="dxa"/>
            <w:tcBorders/>
            <w:shd w:fill="FFFFFF" w:val="clear"/>
            <w:vAlign w:val="center"/>
          </w:tcPr>
          <w:p>
            <w:pPr>
              <w:pStyle w:val="TableContents"/>
              <w:bidi w:val="0"/>
              <w:spacing w:before="0" w:after="283"/>
              <w:jc w:val="left"/>
            </w:pPr>
            <w:r>
              <w:t> </w:t>
            </w:r>
          </w:p>
        </w:tc>
        <w:tc>
          <w:tcPr>
            <w:tcW w:w="106" w:type="dxa"/>
            <w:tcBorders/>
            <w:shd w:fill="FFFFFF" w:val="clear"/>
            <w:vAlign w:val="center"/>
          </w:tcPr>
          <w:p>
            <w:pPr>
              <w:pStyle w:val="TableContents"/>
              <w:bidi w:val="0"/>
              <w:spacing w:before="0" w:after="283"/>
              <w:jc w:val="left"/>
            </w:pPr>
            <w:r>
              <w:t> </w:t>
            </w:r>
          </w:p>
        </w:tc>
        <w:tc>
          <w:tcPr>
            <w:tcW w:w="221" w:type="dxa"/>
            <w:tcBorders/>
            <w:shd w:fill="FFFFFF" w:val="clear"/>
            <w:vAlign w:val="center"/>
          </w:tcPr>
          <w:p>
            <w:pPr>
              <w:pStyle w:val="TableContents"/>
              <w:bidi w:val="0"/>
              <w:spacing w:before="0" w:after="283"/>
              <w:jc w:val="left"/>
            </w:pPr>
            <w:r>
              <w:t> </w:t>
            </w:r>
          </w:p>
        </w:tc>
        <w:tc>
          <w:tcPr>
            <w:tcW w:w="5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jc w:val="left"/>
            </w:pPr>
            <w:r>
              <w:t> </w:t>
            </w:r>
          </w:p>
        </w:tc>
        <w:tc>
          <w:tcPr>
            <w:tcW w:w="4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135" w:type="dxa"/>
            <w:tcBorders/>
            <w:shd w:fill="FFFFFF" w:val="clear"/>
            <w:vAlign w:val="center"/>
          </w:tcPr>
          <w:p>
            <w:pPr>
              <w:pStyle w:val="TableContents"/>
              <w:bidi w:val="0"/>
              <w:spacing w:before="0" w:after="283"/>
              <w:jc w:val="left"/>
            </w:pPr>
            <w:r>
              <w:t> </w:t>
            </w:r>
          </w:p>
        </w:tc>
        <w:tc>
          <w:tcPr>
            <w:tcW w:w="101"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jc w:val="left"/>
            </w:pPr>
            <w:r>
              <w:t> </w:t>
            </w:r>
          </w:p>
        </w:tc>
        <w:tc>
          <w:tcPr>
            <w:tcW w:w="490"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pPr>
            <w: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06" w:type="dxa"/>
            <w:tcBorders/>
            <w:shd w:fill="CCEEFF" w:val="clear"/>
            <w:vAlign w:val="center"/>
          </w:tcPr>
          <w:p>
            <w:pPr>
              <w:pStyle w:val="TableContents"/>
              <w:bidi w:val="0"/>
              <w:spacing w:before="0" w:after="283"/>
              <w:jc w:val="left"/>
            </w:pPr>
            <w: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01" w:type="dxa"/>
            <w:tcBorders/>
            <w:shd w:fill="CCEEFF" w:val="clear"/>
            <w:vAlign w:val="center"/>
          </w:tcPr>
          <w:p>
            <w:pPr>
              <w:pStyle w:val="TableContents"/>
              <w:bidi w:val="0"/>
              <w:spacing w:before="0" w:after="283"/>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ind w:left="0" w:right="0" w:hanging="0"/>
              <w:jc w:val="left"/>
            </w:pPr>
            <w: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ind w:left="0" w:right="0" w:hanging="0"/>
              <w:jc w:val="left"/>
            </w:pPr>
            <w: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Foreign exchange gains and losses on cross-currency intercompany loan balances that are </w:t>
      </w:r>
      <w:r>
        <w:rPr>
          <w:rStyle w:val="Emphasis"/>
          <w:rFonts w:ascii="Times New Roman;Times;serif" w:hAnsi="Times New Roman;Times;serif"/>
          <w:sz w:val="20"/>
        </w:rPr>
        <w:t>not</w:t>
      </w:r>
      <w:r>
        <w:rPr>
          <w:rFonts w:ascii="Times New Roman;Times;serif" w:hAnsi="Times New Roman;Times;serif"/>
          <w:sz w:val="20"/>
        </w:rPr>
        <w:t xml:space="preserve"> of a long-term investment nature are included above. Foreign exchange gains and losses on intercompany loans that are permanently invested are reported in OCI. </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Strategic transaction expenses relate primarily to costs incurred in connection with acquisition and divestiture related activities, including costs to complete the transaction and post-closing integration costs, and other strategic initiatives. Strategic transaction expenses in </w:t>
      </w:r>
      <w:r>
        <w:rPr>
          <w:rStyle w:val="Emphasis"/>
          <w:rFonts w:ascii="Times New Roman;Times;serif" w:hAnsi="Times New Roman;Times;serif"/>
          <w:sz w:val="20"/>
        </w:rPr>
        <w:t>2026</w:t>
      </w:r>
      <w:r>
        <w:rPr>
          <w:rFonts w:ascii="Times New Roman;Times;serif" w:hAnsi="Times New Roman;Times;serif"/>
          <w:sz w:val="20"/>
        </w:rPr>
        <w:t xml:space="preserve"> were primarily attributable to the potential acquisition of Eaton's Mobility business. See Note </w:t>
      </w:r>
      <w:r>
        <w:rPr>
          <w:rStyle w:val="Emphasis"/>
          <w:rFonts w:ascii="Times New Roman;Times;serif" w:hAnsi="Times New Roman;Times;serif"/>
          <w:sz w:val="20"/>
        </w:rPr>
        <w:t>1</w:t>
      </w:r>
      <w:r>
        <w:rPr>
          <w:rFonts w:ascii="Times New Roman;Times;serif" w:hAnsi="Times New Roman;Times;serif"/>
          <w:sz w:val="20"/>
        </w:rPr>
        <w:t xml:space="preserve"> for additional information.</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of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we recorded $60 of charges, including impairment and loss on disposition of property, plant and equipment, associated with certain electric vehicle programs that were either cancelled by the customer or that have experienced a precipitous decline in program volumes.</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January 1, 2026, </w:t>
      </w:r>
      <w:r>
        <w:rPr>
          <w:rFonts w:ascii="Times New Roman;Times;serif" w:hAnsi="Times New Roman;Times;serif"/>
          <w:caps w:val="false"/>
          <w:smallCaps w:val="false"/>
          <w:sz w:val="20"/>
        </w:rPr>
        <w:t xml:space="preserve">we sold our Off-Highway business to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January 30, 2026, </w:t>
      </w:r>
      <w:r>
        <w:rPr>
          <w:rFonts w:ascii="Times New Roman;Times;serif" w:hAnsi="Times New Roman;Times;serif"/>
          <w:caps w:val="false"/>
          <w:smallCaps w:val="false"/>
          <w:sz w:val="20"/>
        </w:rPr>
        <w:t>we sold our wholly-owned subsidiary Pi Innovo LLC, recognizing a $8 pre-tax loss on the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June 6, 2025, </w:t>
      </w:r>
      <w:r>
        <w:rPr>
          <w:rFonts w:ascii="Times New Roman;Times;serif" w:hAnsi="Times New Roman;Times;serif"/>
          <w:caps w:val="false"/>
          <w:smallCaps w:val="false"/>
          <w:sz w:val="20"/>
        </w:rPr>
        <w:t xml:space="preserve">we sold our ownership interest in Switch Mobility Limited, recognizing an $8 pre-tax loss on the transaction. See Note </w:t>
      </w:r>
      <w:r>
        <w:rPr>
          <w:rStyle w:val="Emphasis"/>
          <w:rFonts w:ascii="Times New Roman;Times;serif" w:hAnsi="Times New Roman;Times;serif"/>
          <w:caps w:val="false"/>
          <w:smallCaps w:val="false"/>
          <w:sz w:val="20"/>
        </w:rPr>
        <w:t>18</w:t>
      </w:r>
      <w:r>
        <w:rPr>
          <w:rFonts w:ascii="Times New Roman;Times;serif" w:hAnsi="Times New Roman;Times;serif"/>
          <w:caps w:val="false"/>
          <w:smallCaps w:val="false"/>
          <w:sz w:val="20"/>
        </w:rPr>
        <w:t xml:space="preserve"> for additional information.</w:t>
      </w:r>
    </w:p>
    <w:p>
      <w:pPr>
        <w:pStyle w:val="TextBody"/>
        <w:bidi w:val="0"/>
        <w:spacing w:before="0" w:after="283"/>
        <w:jc w:val="left"/>
      </w:pPr>
      <w:r>
        <w:t xml:space="preserve">  </w:t>
      </w:r>
    </w:p>
    <w:p>
      <w:pPr>
        <w:pStyle w:val="TextBody"/>
        <w:bidi w:val="0"/>
        <w:spacing w:before="0" w:after="0"/>
        <w:ind w:left="0" w:right="0" w:hanging="0"/>
        <w:jc w:val="left"/>
      </w:pPr>
      <w:bookmarkStart w:id="23" w:name="fn17"/>
      <w:bookmarkEnd w:id="23"/>
      <w:r>
        <w:rPr>
          <w:rFonts w:ascii="Times New Roman;Times;serif" w:hAnsi="Times New Roman;Times;serif"/>
          <w:b/>
          <w:sz w:val="20"/>
        </w:rPr>
        <w:t xml:space="preserve">Note </w:t>
      </w:r>
      <w:r>
        <w:rPr>
          <w:rStyle w:val="Emphasis"/>
          <w:rFonts w:ascii="Times New Roman;Times;serif" w:hAnsi="Times New Roman;Times;serif"/>
          <w:b/>
          <w:sz w:val="20"/>
        </w:rPr>
        <w:t>16.</w:t>
      </w:r>
      <w:r>
        <w:rPr>
          <w:rFonts w:ascii="Times New Roman;Times;serif" w:hAnsi="Times New Roman;Times;serif"/>
          <w:b/>
          <w:sz w:val="20"/>
        </w:rPr>
        <w:t xml:space="preserve"> Revenue from Contracts with Customers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We generate revenue from selling production parts to original equipment manufacturers (OEMs) and service parts to OEMs and aftermarket customers. While we provide production and service parts to certain OEMs under awarded multi-year programs, these multi-year programs do </w:t>
      </w:r>
      <w:r>
        <w:rPr>
          <w:rStyle w:val="Emphasis"/>
          <w:rFonts w:ascii="Times New Roman;Times;serif" w:hAnsi="Times New Roman;Times;serif"/>
          <w:sz w:val="20"/>
        </w:rPr>
        <w:t>not</w:t>
      </w:r>
      <w:r>
        <w:rPr>
          <w:rFonts w:ascii="Times New Roman;Times;serif" w:hAnsi="Times New Roman;Times;serif"/>
          <w:sz w:val="20"/>
        </w:rPr>
        <w:t xml:space="preserve"> contain any commitment to volume by the customer. As such, individual customer releases or purchase orders represent the contract with the customer. Our customer contracts do </w:t>
      </w:r>
      <w:r>
        <w:rPr>
          <w:rStyle w:val="Emphasis"/>
          <w:rFonts w:ascii="Times New Roman;Times;serif" w:hAnsi="Times New Roman;Times;serif"/>
          <w:sz w:val="20"/>
        </w:rPr>
        <w:t>not</w:t>
      </w:r>
      <w:r>
        <w:rPr>
          <w:rFonts w:ascii="Times New Roman;Times;serif" w:hAnsi="Times New Roman;Times;serif"/>
          <w:sz w:val="20"/>
        </w:rPr>
        <w:t xml:space="preserve"> provide us with an enforceable right to payment for performance completed to date throughout the contract term. As such, we recognize part sales revenue at the point in time when the parts are shipped, and risk of loss has transferred to the customer. We have elected to continue to include shipping and handling fees billed to customers in revenue, while including costs of shipping and handling in costs of sales. Taxes collected from customers are excluded from revenues and credited directly to obligations to the appropriate government agencies. Payment terms with our customers are established based on industry and regional practices and generally do </w:t>
      </w:r>
      <w:r>
        <w:rPr>
          <w:rStyle w:val="Emphasis"/>
          <w:rFonts w:ascii="Times New Roman;Times;serif" w:hAnsi="Times New Roman;Times;serif"/>
          <w:sz w:val="20"/>
        </w:rPr>
        <w:t>not</w:t>
      </w:r>
      <w:r>
        <w:rPr>
          <w:rFonts w:ascii="Times New Roman;Times;serif" w:hAnsi="Times New Roman;Times;serif"/>
          <w:sz w:val="20"/>
        </w:rPr>
        <w:t xml:space="preserve"> exceed 180 days. </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sz w:val="20"/>
        </w:rPr>
        <w:t xml:space="preserve">We continually seek new business opportunities and at times provide incentives to our customers for new program awards. We evaluate the underlying economics of each payment made to our customers to determine the proper accounting by understanding the nature of the payment, the rights and obligations in the contract, and other relevant facts and circumstances. Upfront payments to our customers are capitalized if we determine that the payments are incremental and incurred only if the new business is obtained and we expect to recover these amounts from the customer over the term of the new business program. We recognize a reduction to revenue as products that the upfront payments are related to are transferred to the customer, based on the total amount of products expected to be sold over the term of the program. We evaluate the amounts capitalized each period for recoverability and expense any amounts that are </w:t>
      </w:r>
      <w:r>
        <w:rPr>
          <w:rStyle w:val="Emphasis"/>
          <w:rFonts w:ascii="Times New Roman;Times;serif" w:hAnsi="Times New Roman;Times;serif"/>
          <w:sz w:val="20"/>
        </w:rPr>
        <w:t>no</w:t>
      </w:r>
      <w:r>
        <w:rPr>
          <w:rFonts w:ascii="Times New Roman;Times;serif" w:hAnsi="Times New Roman;Times;serif"/>
          <w:sz w:val="20"/>
        </w:rPr>
        <w:t xml:space="preserve"> longer expected to be recovered. We had $5 and $6 recorded in other current assets and $12 and $15 recorded in other noncurrent assets at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Certain of our customer contracts include rebate incentives. We estimate expected rebates and accrue the corresponding refund liability, as a reduction of revenue, at the time covered product is sold to the customer based on anticipated customer purchases during the rebate period and contractual rebate percentages. Refund liabilities are included in other accrued liabilities on our consolidated balance sheets. We provide standard fitness for use warranties on the products we sell, accruing for estimated costs related to product warranty obligations at time of sale. See Note </w:t>
      </w:r>
      <w:r>
        <w:rPr>
          <w:rStyle w:val="Emphasis"/>
          <w:rFonts w:ascii="Times New Roman;Times;serif" w:hAnsi="Times New Roman;Times;serif"/>
          <w:sz w:val="20"/>
        </w:rPr>
        <w:t>13</w:t>
      </w:r>
      <w:r>
        <w:rPr>
          <w:rFonts w:ascii="Times New Roman;Times;serif" w:hAnsi="Times New Roman;Times;serif"/>
          <w:sz w:val="20"/>
        </w:rPr>
        <w:t> for additional information.</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left"/>
      </w:pPr>
      <w:r>
        <w:rPr>
          <w:rFonts w:ascii="Times New Roman;Times;serif" w:hAnsi="Times New Roman;Times;serif"/>
          <w:sz w:val="20"/>
        </w:rPr>
        <w:t xml:space="preserve">Contract liabilities are primarily comprised of cash deposits made by customers with cash in advance payment terms, upfront payments from customers related to multi-year programs and unapplied Section </w:t>
      </w:r>
      <w:r>
        <w:rPr>
          <w:rStyle w:val="Emphasis"/>
          <w:rFonts w:ascii="Times New Roman;Times;serif" w:hAnsi="Times New Roman;Times;serif"/>
          <w:sz w:val="20"/>
        </w:rPr>
        <w:t>232</w:t>
      </w:r>
      <w:r>
        <w:rPr>
          <w:rFonts w:ascii="Times New Roman;Times;serif" w:hAnsi="Times New Roman;Times;serif"/>
          <w:sz w:val="20"/>
        </w:rPr>
        <w:t xml:space="preserve"> tariff credits allocated to Dana by its U.S. OEM customers. We had $122 and $25 recorded in other accrued liabilities and $50 and $59 recorded in other noncurrent liabilities at </w:t>
      </w:r>
      <w:r>
        <w:rPr>
          <w:rStyle w:val="Emphasis"/>
          <w:rFonts w:ascii="Times New Roman;Times;serif" w:hAnsi="Times New Roman;Times;serif"/>
          <w:sz w:val="20"/>
        </w:rPr>
        <w:t>September 30, 2026</w:t>
      </w:r>
      <w:r>
        <w:rPr>
          <w:rFonts w:ascii="Times New Roman;Times;serif" w:hAnsi="Times New Roman;Times;serif"/>
          <w:sz w:val="20"/>
        </w:rPr>
        <w:t xml:space="preserve"> and </w:t>
      </w:r>
      <w:r>
        <w:rPr>
          <w:rStyle w:val="Emphasis"/>
          <w:rFonts w:ascii="Times New Roman;Times;serif" w:hAnsi="Times New Roman;Times;serif"/>
          <w:sz w:val="20"/>
        </w:rPr>
        <w:t>December 31,</w:t>
      </w:r>
      <w:r>
        <w:rPr>
          <w:rFonts w:ascii="Times New Roman;Times;serif" w:hAnsi="Times New Roman;Times;serif"/>
          <w:sz w:val="20"/>
        </w:rPr>
        <w:t> </w:t>
      </w:r>
      <w:r>
        <w:rPr>
          <w:rStyle w:val="Emphasis"/>
          <w:rFonts w:ascii="Times New Roman;Times;serif" w:hAnsi="Times New Roman;Times;serif"/>
          <w:sz w:val="20"/>
        </w:rPr>
        <w:t>2025</w:t>
      </w:r>
      <w:r>
        <w:rPr>
          <w:rFonts w:ascii="Times New Roman;Times;serif" w:hAnsi="Times New Roman;Times;serif"/>
          <w:sz w:val="20"/>
        </w:rPr>
        <w:t xml:space="preserve">. We had $96 recorded in other current assets at </w:t>
      </w:r>
      <w:r>
        <w:rPr>
          <w:rStyle w:val="Emphasis"/>
          <w:rFonts w:ascii="Times New Roman;Times;serif" w:hAnsi="Times New Roman;Times;serif"/>
          <w:sz w:val="20"/>
        </w:rPr>
        <w:t>September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which represents consideration received from our U.S. OEM customers for the unapplied Section </w:t>
      </w:r>
      <w:r>
        <w:rPr>
          <w:rStyle w:val="Emphasis"/>
          <w:rFonts w:ascii="Times New Roman;Times;serif" w:hAnsi="Times New Roman;Times;serif"/>
          <w:sz w:val="20"/>
        </w:rPr>
        <w:t>232</w:t>
      </w:r>
      <w:r>
        <w:rPr>
          <w:rFonts w:ascii="Times New Roman;Times;serif" w:hAnsi="Times New Roman;Times;serif"/>
          <w:sz w:val="20"/>
        </w:rPr>
        <w:t xml:space="preserve"> tariff credits.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Disaggregation of revenue</w:t>
      </w:r>
      <w:r>
        <w:rPr>
          <w:rFonts w:ascii="Times New Roman;Times;serif" w:hAnsi="Times New Roman;Times;serif"/>
          <w:sz w:val="20"/>
        </w:rPr>
        <w:t xml:space="preserve"> —</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disaggregates revenue for each of our operating segments by geographical market:</w:t>
      </w:r>
    </w:p>
    <w:p>
      <w:pPr>
        <w:pStyle w:val="TextBody"/>
        <w:bidi w:val="0"/>
        <w:spacing w:before="0" w:after="0"/>
        <w:ind w:left="0" w:right="0" w:hanging="0"/>
        <w:jc w:val="left"/>
      </w:pPr>
      <w:r>
        <w:t> </w:t>
      </w:r>
    </w:p>
    <w:tbl>
      <w:tblPr>
        <w:tblW w:w="5271" w:type="dxa"/>
        <w:jc w:val="left"/>
        <w:tblInd w:w="0" w:type="dxa"/>
        <w:tblLayout w:type="fixed"/>
        <w:tblCellMar>
          <w:top w:w="0" w:type="dxa"/>
          <w:left w:w="0" w:type="dxa"/>
          <w:bottom w:w="0" w:type="dxa"/>
          <w:right w:w="0" w:type="dxa"/>
        </w:tblCellMar>
      </w:tblPr>
      <w:tblGrid>
        <w:gridCol w:w="1685"/>
        <w:gridCol w:w="60"/>
        <w:gridCol w:w="159"/>
        <w:gridCol w:w="620"/>
        <w:gridCol w:w="76"/>
        <w:gridCol w:w="76"/>
        <w:gridCol w:w="159"/>
        <w:gridCol w:w="620"/>
        <w:gridCol w:w="60"/>
        <w:gridCol w:w="60"/>
        <w:gridCol w:w="152"/>
        <w:gridCol w:w="593"/>
        <w:gridCol w:w="73"/>
        <w:gridCol w:w="73"/>
        <w:gridCol w:w="152"/>
        <w:gridCol w:w="593"/>
        <w:gridCol w:w="60"/>
      </w:tblGrid>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0"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60" w:type="dxa"/>
            <w:tcBorders/>
            <w:shd w:fill="FFFF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ind w:left="0" w:right="0" w:hanging="0"/>
              <w:jc w:val="left"/>
            </w:pPr>
            <w:r>
              <w:t> </w:t>
            </w:r>
          </w:p>
        </w:tc>
        <w:tc>
          <w:tcPr>
            <w:tcW w:w="7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pPr>
            <w: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ind w:left="0" w:right="0" w:hanging="0"/>
              <w:jc w:val="left"/>
            </w:pPr>
            <w: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2,716</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pPr>
            <w: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7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jc w:val="left"/>
            </w:pPr>
            <w:r>
              <w:t> </w:t>
            </w:r>
          </w:p>
        </w:tc>
        <w:tc>
          <w:tcPr>
            <w:tcW w:w="620"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jc w:val="left"/>
            </w:pPr>
            <w:r>
              <w:t> </w:t>
            </w:r>
          </w:p>
        </w:tc>
        <w:tc>
          <w:tcPr>
            <w:tcW w:w="6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59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5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pPr>
            <w: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ind w:left="0" w:right="0" w:hanging="0"/>
              <w:jc w:val="left"/>
            </w:pPr>
            <w: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FFFFFF" w:val="clear"/>
            <w:vAlign w:val="center"/>
          </w:tcPr>
          <w:p>
            <w:pPr>
              <w:pStyle w:val="TableContents"/>
              <w:bidi w:val="0"/>
              <w:spacing w:before="0" w:after="283"/>
              <w:jc w:val="left"/>
            </w:pPr>
            <w: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7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jc w:val="left"/>
            </w:pPr>
            <w:r>
              <w:t> </w:t>
            </w:r>
          </w:p>
        </w:tc>
        <w:tc>
          <w:tcPr>
            <w:tcW w:w="620"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jc w:val="left"/>
            </w:pPr>
            <w:r>
              <w:t> </w:t>
            </w:r>
          </w:p>
        </w:tc>
        <w:tc>
          <w:tcPr>
            <w:tcW w:w="6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59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jc w:val="left"/>
            </w:pPr>
            <w:r>
              <w:t> </w:t>
            </w:r>
          </w:p>
        </w:tc>
        <w:tc>
          <w:tcPr>
            <w:tcW w:w="59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jc w:val="left"/>
            </w:pPr>
            <w:r>
              <w:t> </w:t>
            </w:r>
          </w:p>
        </w:tc>
        <w:tc>
          <w:tcPr>
            <w:tcW w:w="62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jc w:val="left"/>
            </w:pPr>
            <w:r>
              <w:t> </w:t>
            </w:r>
          </w:p>
        </w:tc>
        <w:tc>
          <w:tcPr>
            <w:tcW w:w="59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pPr>
            <w: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ind w:left="0" w:right="0" w:hanging="0"/>
              <w:jc w:val="left"/>
            </w:pPr>
            <w: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76" w:type="dxa"/>
            <w:tcBorders/>
            <w:shd w:fill="CCEEFF" w:val="cle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shd w:fill="CCEEFF" w:val="clear"/>
            <w:vAlign w:val="center"/>
          </w:tcPr>
          <w:p>
            <w:pPr>
              <w:pStyle w:val="TableContents"/>
              <w:bidi w:val="0"/>
              <w:spacing w:before="0" w:after="283"/>
              <w:ind w:left="0" w:right="0" w:hanging="0"/>
              <w:jc w:val="left"/>
            </w:pPr>
            <w:r>
              <w:t> </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73"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shd w:fill="CCEEFF" w:val="clear"/>
            <w:vAlign w:val="center"/>
          </w:tcPr>
          <w:p>
            <w:pPr>
              <w:pStyle w:val="TableContents"/>
              <w:bidi w:val="0"/>
              <w:spacing w:before="0" w:after="283"/>
              <w:ind w:left="0" w:right="0" w:hanging="0"/>
              <w:jc w:val="left"/>
            </w:pPr>
            <w: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60" w:type="dxa"/>
            <w:tcBorders/>
            <w:shd w:fill="CCEE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76" w:type="dxa"/>
            <w:tcBorders/>
            <w:shd w:fill="FFFFFF" w:val="cle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jc w:val="left"/>
            </w:pPr>
            <w:r>
              <w:t> </w:t>
            </w:r>
          </w:p>
        </w:tc>
        <w:tc>
          <w:tcPr>
            <w:tcW w:w="159" w:type="dxa"/>
            <w:tcBorders/>
            <w:shd w:fill="FFFFFF" w:val="clear"/>
            <w:vAlign w:val="center"/>
          </w:tcPr>
          <w:p>
            <w:pPr>
              <w:pStyle w:val="TableContents"/>
              <w:bidi w:val="0"/>
              <w:spacing w:before="0" w:after="283"/>
              <w:ind w:left="0" w:right="0" w:hanging="0"/>
              <w:jc w:val="left"/>
            </w:pPr>
            <w:r>
              <w:t> </w:t>
            </w:r>
          </w:p>
        </w:tc>
        <w:tc>
          <w:tcPr>
            <w:tcW w:w="6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73"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jc w:val="left"/>
            </w:pPr>
            <w:r>
              <w:t> </w:t>
            </w:r>
          </w:p>
        </w:tc>
        <w:tc>
          <w:tcPr>
            <w:tcW w:w="152" w:type="dxa"/>
            <w:tcBorders/>
            <w:shd w:fill="FFFFFF" w:val="clear"/>
            <w:vAlign w:val="center"/>
          </w:tcPr>
          <w:p>
            <w:pPr>
              <w:pStyle w:val="TableContents"/>
              <w:bidi w:val="0"/>
              <w:spacing w:before="0" w:after="283"/>
              <w:ind w:left="0" w:right="0" w:hanging="0"/>
              <w:jc w:val="left"/>
            </w:pPr>
            <w: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FFFFFF" w:val="clear"/>
            <w:vAlign w:val="center"/>
          </w:tcPr>
          <w:p>
            <w:pPr>
              <w:pStyle w:val="TableContents"/>
              <w:bidi w:val="0"/>
              <w:spacing w:before="0" w:after="283"/>
              <w:jc w:val="left"/>
            </w:pPr>
            <w:r>
              <w:t> </w:t>
            </w:r>
          </w:p>
        </w:tc>
      </w:tr>
      <w:t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pPr>
            <w: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7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6" w:type="dxa"/>
            <w:tcBorders/>
            <w:shd w:fill="CCEEFF" w:val="clear"/>
            <w:vAlign w:val="center"/>
          </w:tcPr>
          <w:p>
            <w:pPr>
              <w:pStyle w:val="TableContents"/>
              <w:bidi w:val="0"/>
              <w:spacing w:before="0" w:after="283"/>
              <w:jc w:val="left"/>
            </w:pPr>
            <w: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7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6" w:type="dxa"/>
            <w:tcBorders/>
            <w:shd w:fill="FFFFFF" w:val="clear"/>
            <w:vAlign w:val="center"/>
          </w:tcPr>
          <w:p>
            <w:pPr>
              <w:pStyle w:val="TableContents"/>
              <w:bidi w:val="0"/>
              <w:spacing w:before="0" w:after="283"/>
              <w:ind w:left="0" w:right="0" w:hanging="0"/>
              <w:jc w:val="left"/>
            </w:pPr>
            <w: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24" w:name="fn18"/>
      <w:bookmarkEnd w:id="24"/>
      <w:r>
        <w:rPr>
          <w:rFonts w:ascii="Times New Roman;Times;serif" w:hAnsi="Times New Roman;Times;serif"/>
          <w:b/>
          <w:sz w:val="20"/>
        </w:rPr>
        <w:t xml:space="preserve">Note </w:t>
      </w:r>
      <w:r>
        <w:rPr>
          <w:rStyle w:val="Emphasis"/>
          <w:rFonts w:ascii="Times New Roman;Times;serif" w:hAnsi="Times New Roman;Times;serif"/>
          <w:b/>
          <w:sz w:val="20"/>
        </w:rPr>
        <w:t>17.</w:t>
      </w:r>
      <w:r>
        <w:rPr>
          <w:rFonts w:ascii="Times New Roman;Times;serif" w:hAnsi="Times New Roman;Times;serif"/>
          <w:b/>
          <w:sz w:val="20"/>
        </w:rPr>
        <w:t xml:space="preserve"> Segments</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caps w:val="false"/>
          <w:smallCaps w:val="false"/>
          <w:sz w:val="20"/>
        </w:rPr>
        <w:t xml:space="preserve">We are a global provider of high-technology products to virtually every major on-highway vehicle manufacturer in the world. Our technologies include drive systems (axles, driveshafts and transmissions); electrodynamic technologies (motors, inverters, software and control systems, battery-management systems, and fuel cell plates); sealing solutions (gaskets, seals, cam covers, and oil pan modules); thermal-management technologies (transmission and engine oil cooling, battery and electronics cooling, charge air cooling, and thermal-acoustical protective shielding); and digital solutions (active and passive system controls and descriptive and predictive analytics). Effective </w:t>
      </w:r>
      <w:r>
        <w:rPr>
          <w:rStyle w:val="Emphasis"/>
          <w:rFonts w:ascii="Times New Roman;Times;serif" w:hAnsi="Times New Roman;Times;serif"/>
          <w:caps w:val="false"/>
          <w:smallCaps w:val="false"/>
          <w:sz w:val="20"/>
        </w:rPr>
        <w:t xml:space="preserve">January 1, 2025, </w:t>
      </w:r>
      <w:r>
        <w:rPr>
          <w:rFonts w:ascii="Times New Roman;Times;serif" w:hAnsi="Times New Roman;Times;serif"/>
          <w:caps w:val="false"/>
          <w:smallCaps w:val="false"/>
          <w:sz w:val="20"/>
        </w:rPr>
        <w:t xml:space="preserve">Dana’s chief operating decision maker (CODM) realigned Dana’s operating segments, reflecting Dana’s commitment to streamlining the business, enhancing our go-to market approach, and serving our customers more efficiently. Our former Power Technologies operating segment has been split, integrating the OEM-facing business into our Light Vehicle Systems operating segment and integrating the aftermarket business into our Commercial Vehicle Systems operating segment. In addition, in </w:t>
      </w:r>
      <w:r>
        <w:rPr>
          <w:rStyle w:val="Emphasis"/>
          <w:rFonts w:ascii="Times New Roman;Times;serif" w:hAnsi="Times New Roman;Times;serif"/>
          <w:caps w:val="false"/>
          <w:smallCaps w:val="false"/>
          <w:sz w:val="20"/>
        </w:rPr>
        <w:t xml:space="preserve">June 2025 </w:t>
      </w:r>
      <w:r>
        <w:rPr>
          <w:rFonts w:ascii="Times New Roman;Times;serif" w:hAnsi="Times New Roman;Times;serif"/>
          <w:caps w:val="false"/>
          <w:smallCaps w:val="false"/>
          <w:sz w:val="20"/>
        </w:rPr>
        <w:t xml:space="preserve">we entered into a definitive agreement to sell our Off-Highway business to Allison Transmission Holdings, Inc. See Note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for additional information. Certain operations that fell outside of the sale perimeter, including certain Dana </w:t>
      </w:r>
      <w:r>
        <w:rPr>
          <w:rStyle w:val="Emphasis"/>
          <w:rFonts w:ascii="Times New Roman;Times;serif" w:hAnsi="Times New Roman;Times;serif"/>
          <w:caps w:val="false"/>
          <w:smallCaps w:val="false"/>
          <w:sz w:val="20"/>
        </w:rPr>
        <w:t>TM4</w:t>
      </w:r>
      <w:r>
        <w:rPr>
          <w:rFonts w:ascii="Times New Roman;Times;serif" w:hAnsi="Times New Roman;Times;serif"/>
          <w:caps w:val="false"/>
          <w:smallCaps w:val="false"/>
          <w:sz w:val="20"/>
        </w:rPr>
        <w:t xml:space="preserve"> operations and our European hydraulics business, have been integrated into our Commercial Vehicle Systems and Light Vehicle Systems operating segments, respectively. We now serve our global light vehicle and medium/heavy vehicle markets through two operating segments – Light Vehicle Systems (Light Vehicle) and Commercial Vehicle Systems (Commercial Vehicle). These operating segments have global responsibility and accountability for business commercial activities and financial performance. Amounts presented for prior periods have been recast to align with Dana’s current two operating segments. Dana’s Chief Executive Officer is its CODM.</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Dana evaluates the performance of its operating segments based on external sales and segment EBITDA. Segment EBITDA is a primary driver of cash flows from operations and a measure of our ability to maintain and continue to invest in our operations and provide shareholder returns. Our segments are charged for corporate and other shared administrative costs. Certain corporate and other administrative costs that were historically charged to our Off-Highway business, that are </w:t>
      </w:r>
      <w:r>
        <w:rPr>
          <w:rStyle w:val="Emphasis"/>
          <w:rFonts w:ascii="Times New Roman;Times;serif" w:hAnsi="Times New Roman;Times;serif"/>
          <w:sz w:val="20"/>
        </w:rPr>
        <w:t>not</w:t>
      </w:r>
      <w:r>
        <w:rPr>
          <w:rFonts w:ascii="Times New Roman;Times;serif" w:hAnsi="Times New Roman;Times;serif"/>
          <w:sz w:val="20"/>
        </w:rPr>
        <w:t xml:space="preserve"> permitted to be reflected as part of discontinued operations, have been recast and are included within the "corporate expense and other items, net" line of the reconciliation of segment EBITDA to earnings (loss) from continuing operations before income taxes. Segment EBITDA </w:t>
      </w:r>
      <w:r>
        <w:rPr>
          <w:rStyle w:val="Emphasis"/>
          <w:rFonts w:ascii="Times New Roman;Times;serif" w:hAnsi="Times New Roman;Times;serif"/>
          <w:sz w:val="20"/>
        </w:rPr>
        <w:t>may not</w:t>
      </w:r>
      <w:r>
        <w:rPr>
          <w:rFonts w:ascii="Times New Roman;Times;serif" w:hAnsi="Times New Roman;Times;serif"/>
          <w:sz w:val="20"/>
        </w:rPr>
        <w:t xml:space="preserve"> be comparable to similarly titled measures reported by other companies.</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Segment information</w:t>
      </w:r>
      <w:r>
        <w:rPr>
          <w:rFonts w:ascii="Times New Roman;Times;serif" w:hAnsi="Times New Roman;Times;serif"/>
          <w:sz w:val="20"/>
        </w:rPr>
        <w:t xml:space="preserve"> —</w:t>
      </w:r>
    </w:p>
    <w:p>
      <w:pPr>
        <w:pStyle w:val="TextBody"/>
        <w:bidi w:val="0"/>
        <w:spacing w:before="0" w:after="0"/>
        <w:ind w:left="0" w:right="0" w:hanging="0"/>
        <w:jc w:val="left"/>
      </w:pPr>
      <w:r>
        <w:t> </w:t>
      </w:r>
    </w:p>
    <w:tbl>
      <w:tblPr>
        <w:tblW w:w="7285" w:type="dxa"/>
        <w:jc w:val="left"/>
        <w:tblInd w:w="0" w:type="dxa"/>
        <w:tblLayout w:type="fixed"/>
        <w:tblCellMar>
          <w:top w:w="0" w:type="dxa"/>
          <w:left w:w="0" w:type="dxa"/>
          <w:bottom w:w="0" w:type="dxa"/>
          <w:right w:w="0" w:type="dxa"/>
        </w:tblCellMar>
      </w:tblPr>
      <w:tblGrid>
        <w:gridCol w:w="3635"/>
        <w:gridCol w:w="60"/>
        <w:gridCol w:w="130"/>
        <w:gridCol w:w="505"/>
        <w:gridCol w:w="60"/>
        <w:gridCol w:w="60"/>
        <w:gridCol w:w="274"/>
        <w:gridCol w:w="736"/>
        <w:gridCol w:w="60"/>
        <w:gridCol w:w="60"/>
        <w:gridCol w:w="263"/>
        <w:gridCol w:w="612"/>
        <w:gridCol w:w="80"/>
        <w:gridCol w:w="60"/>
        <w:gridCol w:w="125"/>
        <w:gridCol w:w="485"/>
        <w:gridCol w:w="80"/>
      </w:tblGrid>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Light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30, 2026</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Corporate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ind w:left="0" w:right="0" w:hanging="0"/>
              <w:jc w:val="left"/>
            </w:pPr>
            <w: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736"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7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ind w:left="0" w:right="0" w:hanging="0"/>
              <w:jc w:val="left"/>
            </w:pPr>
            <w: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ind w:left="0" w:right="0" w:hanging="0"/>
              <w:jc w:val="left"/>
            </w:pPr>
            <w: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 (b) - September 30, 2026</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7325" w:type="dxa"/>
        <w:jc w:val="left"/>
        <w:tblInd w:w="0" w:type="dxa"/>
        <w:tblLayout w:type="fixed"/>
        <w:tblCellMar>
          <w:top w:w="0" w:type="dxa"/>
          <w:left w:w="0" w:type="dxa"/>
          <w:bottom w:w="0" w:type="dxa"/>
          <w:right w:w="0" w:type="dxa"/>
        </w:tblCellMar>
      </w:tblPr>
      <w:tblGrid>
        <w:gridCol w:w="3635"/>
        <w:gridCol w:w="60"/>
        <w:gridCol w:w="130"/>
        <w:gridCol w:w="505"/>
        <w:gridCol w:w="80"/>
        <w:gridCol w:w="60"/>
        <w:gridCol w:w="274"/>
        <w:gridCol w:w="736"/>
        <w:gridCol w:w="80"/>
        <w:gridCol w:w="60"/>
        <w:gridCol w:w="263"/>
        <w:gridCol w:w="612"/>
        <w:gridCol w:w="80"/>
        <w:gridCol w:w="60"/>
        <w:gridCol w:w="125"/>
        <w:gridCol w:w="485"/>
        <w:gridCol w:w="80"/>
      </w:tblGrid>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Light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30, 2025</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Corporate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ind w:left="0" w:right="0" w:hanging="0"/>
              <w:jc w:val="left"/>
            </w:pPr>
            <w: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736"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jc w:val="left"/>
            </w:pPr>
            <w:r>
              <w:t> </w:t>
            </w:r>
          </w:p>
        </w:tc>
        <w:tc>
          <w:tcPr>
            <w:tcW w:w="73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ind w:left="0" w:right="0" w:hanging="0"/>
              <w:jc w:val="left"/>
            </w:pPr>
            <w:r>
              <w:t> </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4" w:type="dxa"/>
            <w:tcBorders/>
            <w:shd w:fill="CCEEFF" w:val="clear"/>
            <w:vAlign w:val="center"/>
          </w:tcPr>
          <w:p>
            <w:pPr>
              <w:pStyle w:val="TableContents"/>
              <w:bidi w:val="0"/>
              <w:spacing w:before="0" w:after="283"/>
              <w:ind w:left="0" w:right="0" w:hanging="0"/>
              <w:jc w:val="left"/>
            </w:pPr>
            <w:r>
              <w:t> </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3" w:type="dxa"/>
            <w:tcBorders/>
            <w:shd w:fill="CCEEFF" w:val="clear"/>
            <w:vAlign w:val="center"/>
          </w:tcPr>
          <w:p>
            <w:pPr>
              <w:pStyle w:val="TableContents"/>
              <w:bidi w:val="0"/>
              <w:spacing w:before="0" w:after="283"/>
              <w:jc w:val="left"/>
            </w:pPr>
            <w:r>
              <w:t> </w:t>
            </w:r>
          </w:p>
        </w:tc>
        <w:tc>
          <w:tcPr>
            <w:tcW w:w="61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4" w:type="dxa"/>
            <w:tcBorders/>
            <w:shd w:fill="FFFFFF" w:val="clear"/>
            <w:vAlign w:val="center"/>
          </w:tcPr>
          <w:p>
            <w:pPr>
              <w:pStyle w:val="TableContents"/>
              <w:bidi w:val="0"/>
              <w:spacing w:before="0" w:after="283"/>
              <w:jc w:val="left"/>
            </w:pPr>
            <w:r>
              <w:t> </w:t>
            </w:r>
          </w:p>
        </w:tc>
        <w:tc>
          <w:tcPr>
            <w:tcW w:w="736"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3" w:type="dxa"/>
            <w:tcBorders/>
            <w:shd w:fill="FFFFFF" w:val="clear"/>
            <w:vAlign w:val="center"/>
          </w:tcPr>
          <w:p>
            <w:pPr>
              <w:pStyle w:val="TableContents"/>
              <w:bidi w:val="0"/>
              <w:spacing w:before="0" w:after="283"/>
              <w:jc w:val="left"/>
            </w:pPr>
            <w:r>
              <w:t> </w:t>
            </w:r>
          </w:p>
        </w:tc>
        <w:tc>
          <w:tcPr>
            <w:tcW w:w="6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 (b) - December 31, 2025</w:t>
            </w:r>
          </w:p>
        </w:tc>
        <w:tc>
          <w:tcPr>
            <w:tcW w:w="60" w:type="dxa"/>
            <w:tcBorders/>
            <w:shd w:fill="FFFFFF" w:val="clear"/>
            <w:vAlign w:val="center"/>
          </w:tcPr>
          <w:p>
            <w:pPr>
              <w:pStyle w:val="TableContents"/>
              <w:bidi w:val="0"/>
              <w:spacing w:before="0" w:after="283"/>
              <w:ind w:left="0" w:right="0" w:hanging="0"/>
              <w:jc w:val="left"/>
            </w:pPr>
            <w: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tbl>
      <w:tblPr>
        <w:tblW w:w="7285" w:type="dxa"/>
        <w:jc w:val="left"/>
        <w:tblInd w:w="0" w:type="dxa"/>
        <w:tblLayout w:type="fixed"/>
        <w:tblCellMar>
          <w:top w:w="0" w:type="dxa"/>
          <w:left w:w="0" w:type="dxa"/>
          <w:bottom w:w="0" w:type="dxa"/>
          <w:right w:w="0" w:type="dxa"/>
        </w:tblCellMar>
      </w:tblPr>
      <w:tblGrid>
        <w:gridCol w:w="3635"/>
        <w:gridCol w:w="60"/>
        <w:gridCol w:w="130"/>
        <w:gridCol w:w="505"/>
        <w:gridCol w:w="60"/>
        <w:gridCol w:w="60"/>
        <w:gridCol w:w="206"/>
        <w:gridCol w:w="804"/>
        <w:gridCol w:w="80"/>
        <w:gridCol w:w="60"/>
        <w:gridCol w:w="308"/>
        <w:gridCol w:w="567"/>
        <w:gridCol w:w="60"/>
        <w:gridCol w:w="60"/>
        <w:gridCol w:w="125"/>
        <w:gridCol w:w="485"/>
        <w:gridCol w:w="80"/>
      </w:tblGrid>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Light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 2026</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Corporate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pPr>
            <w:r>
              <w:t> </w:t>
            </w:r>
          </w:p>
        </w:tc>
        <w:tc>
          <w:tcPr>
            <w:tcW w:w="804"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pPr>
            <w:r>
              <w:t> </w:t>
            </w:r>
          </w:p>
        </w:tc>
        <w:tc>
          <w:tcPr>
            <w:tcW w:w="80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ind w:left="0" w:right="0" w:hanging="0"/>
              <w:jc w:val="left"/>
            </w:pPr>
            <w: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tbl>
      <w:tblPr>
        <w:tblW w:w="7305" w:type="dxa"/>
        <w:jc w:val="left"/>
        <w:tblInd w:w="0" w:type="dxa"/>
        <w:tblLayout w:type="fixed"/>
        <w:tblCellMar>
          <w:top w:w="0" w:type="dxa"/>
          <w:left w:w="0" w:type="dxa"/>
          <w:bottom w:w="0" w:type="dxa"/>
          <w:right w:w="0" w:type="dxa"/>
        </w:tblCellMar>
      </w:tblPr>
      <w:tblGrid>
        <w:gridCol w:w="3635"/>
        <w:gridCol w:w="60"/>
        <w:gridCol w:w="130"/>
        <w:gridCol w:w="505"/>
        <w:gridCol w:w="80"/>
        <w:gridCol w:w="60"/>
        <w:gridCol w:w="206"/>
        <w:gridCol w:w="804"/>
        <w:gridCol w:w="80"/>
        <w:gridCol w:w="60"/>
        <w:gridCol w:w="308"/>
        <w:gridCol w:w="567"/>
        <w:gridCol w:w="60"/>
        <w:gridCol w:w="60"/>
        <w:gridCol w:w="125"/>
        <w:gridCol w:w="485"/>
        <w:gridCol w:w="80"/>
      </w:tblGrid>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Light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 2025</w:t>
            </w:r>
          </w:p>
        </w:tc>
        <w:tc>
          <w:tcPr>
            <w:tcW w:w="60" w:type="dxa"/>
            <w:tcBorders/>
            <w:shd w:fill="FFFFFF" w:val="clear"/>
            <w:vAlign w:val="center"/>
          </w:tcPr>
          <w:p>
            <w:pPr>
              <w:pStyle w:val="TableContents"/>
              <w:bidi w:val="0"/>
              <w:spacing w:before="0" w:after="283"/>
              <w:ind w:left="0" w:right="0" w:hanging="0"/>
              <w:jc w:val="left"/>
            </w:pPr>
            <w: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Vehicle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Corporate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sales</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5,799</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 of inter-segment sales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pPr>
            <w:r>
              <w:t> </w:t>
            </w:r>
          </w:p>
        </w:tc>
        <w:tc>
          <w:tcPr>
            <w:tcW w:w="804"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jc w:val="left"/>
            </w:pPr>
            <w:r>
              <w:t> </w:t>
            </w:r>
          </w:p>
        </w:tc>
        <w:tc>
          <w:tcPr>
            <w:tcW w:w="50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jc w:val="left"/>
            </w:pPr>
            <w:r>
              <w:t> </w:t>
            </w:r>
          </w:p>
        </w:tc>
        <w:tc>
          <w:tcPr>
            <w:tcW w:w="804"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ind w:left="0" w:right="0" w:hanging="0"/>
              <w:jc w:val="left"/>
            </w:pPr>
            <w: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6" w:type="dxa"/>
            <w:tcBorders/>
            <w:shd w:fill="CCEEFF" w:val="clear"/>
            <w:vAlign w:val="center"/>
          </w:tcPr>
          <w:p>
            <w:pPr>
              <w:pStyle w:val="TableContents"/>
              <w:bidi w:val="0"/>
              <w:spacing w:before="0" w:after="283"/>
              <w:ind w:left="0" w:right="0" w:hanging="0"/>
              <w:jc w:val="left"/>
            </w:pPr>
            <w: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(a)</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08" w:type="dxa"/>
            <w:tcBorders/>
            <w:shd w:fill="CCEEFF" w:val="clear"/>
            <w:vAlign w:val="center"/>
          </w:tcPr>
          <w:p>
            <w:pPr>
              <w:pStyle w:val="TableContents"/>
              <w:bidi w:val="0"/>
              <w:spacing w:before="0" w:after="283"/>
              <w:jc w:val="left"/>
            </w:pPr>
            <w:r>
              <w:t> </w:t>
            </w:r>
          </w:p>
        </w:tc>
        <w:tc>
          <w:tcPr>
            <w:tcW w:w="567"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36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50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6" w:type="dxa"/>
            <w:tcBorders/>
            <w:shd w:fill="FFFFFF" w:val="clear"/>
            <w:vAlign w:val="center"/>
          </w:tcPr>
          <w:p>
            <w:pPr>
              <w:pStyle w:val="TableContents"/>
              <w:bidi w:val="0"/>
              <w:spacing w:before="0" w:after="283"/>
              <w:jc w:val="left"/>
            </w:pPr>
            <w:r>
              <w:t> </w:t>
            </w:r>
          </w:p>
        </w:tc>
        <w:tc>
          <w:tcPr>
            <w:tcW w:w="80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08" w:type="dxa"/>
            <w:tcBorders/>
            <w:shd w:fill="FFFFFF" w:val="clear"/>
            <w:vAlign w:val="center"/>
          </w:tcPr>
          <w:p>
            <w:pPr>
              <w:pStyle w:val="TableContents"/>
              <w:bidi w:val="0"/>
              <w:spacing w:before="0" w:after="283"/>
              <w:jc w:val="left"/>
            </w:pPr>
            <w:r>
              <w:t> </w:t>
            </w:r>
          </w:p>
        </w:tc>
        <w:tc>
          <w:tcPr>
            <w:tcW w:w="56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ind w:left="0" w:right="0" w:hanging="0"/>
              <w:jc w:val="left"/>
            </w:pPr>
            <w: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(a) Other segment items primarily include foreign exchange gains and losses, government assistance and export incentives.</w:t>
      </w:r>
    </w:p>
    <w:p>
      <w:pPr>
        <w:pStyle w:val="TextBody"/>
        <w:bidi w:val="0"/>
        <w:spacing w:before="0" w:after="0"/>
        <w:ind w:left="160" w:right="0" w:hanging="160"/>
        <w:jc w:val="left"/>
        <w:rPr>
          <w:rFonts w:ascii="Times New Roman;Times;serif" w:hAnsi="Times New Roman;Times;serif"/>
          <w:sz w:val="20"/>
        </w:rPr>
      </w:pPr>
      <w:r>
        <w:rPr>
          <w:rFonts w:ascii="Times New Roman;Times;serif" w:hAnsi="Times New Roman;Times;serif"/>
          <w:sz w:val="20"/>
        </w:rPr>
        <w:t>(b) Segment net assets include accounts receivable - trade, inventories and accounts payable.</w:t>
      </w:r>
    </w:p>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segment EBITDA to loss from continuing operations before income taxes </w:t>
      </w:r>
      <w:r>
        <w:rPr>
          <w:rFonts w:ascii="Times New Roman;Times;serif" w:hAnsi="Times New Roman;Times;serif"/>
          <w:sz w:val="20"/>
        </w:rPr>
        <w:t>—</w:t>
      </w:r>
    </w:p>
    <w:p>
      <w:pPr>
        <w:pStyle w:val="TextBody"/>
        <w:bidi w:val="0"/>
        <w:spacing w:before="0" w:after="283"/>
        <w:jc w:val="left"/>
      </w:pPr>
      <w:r>
        <w:t> </w:t>
      </w:r>
    </w:p>
    <w:tbl>
      <w:tblPr>
        <w:tblW w:w="9290" w:type="dxa"/>
        <w:jc w:val="left"/>
        <w:tblInd w:w="0" w:type="dxa"/>
        <w:tblLayout w:type="fixed"/>
        <w:tblCellMar>
          <w:top w:w="0" w:type="dxa"/>
          <w:left w:w="0" w:type="dxa"/>
          <w:bottom w:w="0" w:type="dxa"/>
          <w:right w:w="0" w:type="dxa"/>
        </w:tblCellMar>
      </w:tblPr>
      <w:tblGrid>
        <w:gridCol w:w="5660"/>
        <w:gridCol w:w="60"/>
        <w:gridCol w:w="202"/>
        <w:gridCol w:w="542"/>
        <w:gridCol w:w="129"/>
        <w:gridCol w:w="97"/>
        <w:gridCol w:w="202"/>
        <w:gridCol w:w="542"/>
        <w:gridCol w:w="80"/>
        <w:gridCol w:w="60"/>
        <w:gridCol w:w="173"/>
        <w:gridCol w:w="548"/>
        <w:gridCol w:w="111"/>
        <w:gridCol w:w="83"/>
        <w:gridCol w:w="173"/>
        <w:gridCol w:w="548"/>
        <w:gridCol w:w="80"/>
      </w:tblGrid>
      <w:tr>
        <w:tc>
          <w:tcPr>
            <w:tcW w:w="56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4"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1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ind w:left="0" w:right="0" w:hanging="0"/>
              <w:jc w:val="left"/>
            </w:pPr>
            <w: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shd w:fill="CCEEFF" w:val="clear"/>
            <w:vAlign w:val="center"/>
          </w:tcPr>
          <w:p>
            <w:pPr>
              <w:pStyle w:val="TableContents"/>
              <w:bidi w:val="0"/>
              <w:spacing w:before="0" w:after="283"/>
              <w:ind w:left="0" w:right="0" w:hanging="0"/>
              <w:jc w:val="left"/>
            </w:pPr>
            <w: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 and other items, net</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pPr>
            <w:r>
              <w:rPr>
                <w:rStyle w:val="Emphasis"/>
              </w:rPr>
              <w:t> </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 expense</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sale of property, plant and equipment</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pPr>
            <w:r>
              <w:rPr>
                <w:rStyle w:val="Emphasis"/>
              </w:rPr>
              <w:t> </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capacity charge adjustment</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pPr>
            <w:r>
              <w:rPr>
                <w:rStyle w:val="Emphasis"/>
              </w:rPr>
              <w:t> </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pPr>
            <w:r>
              <w:rPr>
                <w:rStyle w:val="Emphasis"/>
              </w:rPr>
              <w:t> </w:t>
            </w:r>
          </w:p>
        </w:tc>
        <w:tc>
          <w:tcPr>
            <w:tcW w:w="1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attributable to previously closed/divested operations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Distressed supplier costs</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pPr>
            <w:r>
              <w:rPr>
                <w:rStyle w:val="Emphasis"/>
              </w:rPr>
              <w:t> </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542" w:type="dxa"/>
            <w:tcBorders/>
            <w:shd w:fill="FFFFFF" w:val="clear"/>
            <w:vAlign w:val="center"/>
          </w:tcPr>
          <w:p>
            <w:pPr>
              <w:pStyle w:val="TableContents"/>
              <w:bidi w:val="0"/>
              <w:spacing w:before="0" w:after="283"/>
              <w:ind w:left="0" w:right="0" w:hanging="0"/>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 on unhedged intercompany loans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542"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548" w:type="dxa"/>
            <w:tcBorders/>
            <w:shd w:fill="CCEEFF" w:val="clear"/>
            <w:vAlign w:val="center"/>
          </w:tcPr>
          <w:p>
            <w:pPr>
              <w:pStyle w:val="TableContents"/>
              <w:bidi w:val="0"/>
              <w:spacing w:before="0" w:after="283"/>
              <w:jc w:val="right"/>
            </w:pPr>
            <w:r>
              <w:rPr>
                <w:rStyle w:val="Emphasis"/>
              </w:rPr>
              <w:t> </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items</w:t>
            </w:r>
          </w:p>
        </w:tc>
        <w:tc>
          <w:tcPr>
            <w:tcW w:w="60" w:type="dxa"/>
            <w:tcBorders/>
            <w:shd w:fill="FFFFFF" w:val="clear"/>
            <w:vAlign w:val="center"/>
          </w:tcPr>
          <w:p>
            <w:pPr>
              <w:pStyle w:val="TableContents"/>
              <w:bidi w:val="0"/>
              <w:spacing w:before="0" w:after="283"/>
              <w:ind w:left="0" w:right="0" w:hanging="0"/>
              <w:jc w:val="left"/>
            </w:pPr>
            <w: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2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pPr>
            <w: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2" w:type="dxa"/>
            <w:tcBorders>
              <w:bottom w:val="single" w:sz="2" w:space="0" w:color="000000"/>
            </w:tcBorders>
            <w:shd w:fill="FFFFFF" w:val="clear"/>
            <w:tcMar>
              <w:bottom w:w="28" w:type="dxa"/>
            </w:tcMar>
            <w:vAlign w:val="center"/>
          </w:tcPr>
          <w:p>
            <w:pPr>
              <w:pStyle w:val="TableContents"/>
              <w:bidi w:val="0"/>
              <w:spacing w:before="0" w:after="0"/>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ind w:left="0" w:right="0" w:hanging="0"/>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jc w:val="left"/>
            </w:pPr>
            <w:r>
              <w:t> </w:t>
            </w:r>
          </w:p>
        </w:tc>
        <w:tc>
          <w:tcPr>
            <w:tcW w:w="542"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jc w:val="left"/>
            </w:pPr>
            <w:r>
              <w:t> </w:t>
            </w:r>
          </w:p>
        </w:tc>
        <w:tc>
          <w:tcPr>
            <w:tcW w:w="548" w:type="dxa"/>
            <w:tcBorders/>
            <w:shd w:fill="FFFFFF" w:val="clear"/>
            <w:vAlign w:val="center"/>
          </w:tcPr>
          <w:p>
            <w:pPr>
              <w:pStyle w:val="TableContents"/>
              <w:bidi w:val="0"/>
              <w:spacing w:before="0" w:after="283"/>
              <w:jc w:val="right"/>
            </w:pPr>
            <w:r>
              <w:rPr>
                <w:rStyle w:val="Emphasis"/>
              </w:rPr>
              <w:t> </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pPr>
            <w:r>
              <w:t> </w:t>
            </w:r>
          </w:p>
        </w:tc>
      </w:tr>
      <w:t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11"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pPr>
            <w:r>
              <w:t> </w:t>
            </w:r>
          </w:p>
        </w:tc>
      </w:tr>
      <w:t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CCEEFF" w:val="clear"/>
            <w:vAlign w:val="center"/>
          </w:tcPr>
          <w:p>
            <w:pPr>
              <w:pStyle w:val="TableContents"/>
              <w:bidi w:val="0"/>
              <w:spacing w:before="0" w:after="283"/>
              <w:ind w:left="0" w:right="0" w:hanging="0"/>
              <w:jc w:val="left"/>
            </w:pPr>
            <w: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11"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Reconciliation of segment net assets to consolidated total assets </w:t>
      </w:r>
      <w:r>
        <w:rPr>
          <w:rFonts w:ascii="Times New Roman;Times;serif" w:hAnsi="Times New Roman;Times;serif"/>
          <w:sz w:val="20"/>
        </w:rPr>
        <w:t>—</w:t>
      </w:r>
    </w:p>
    <w:p>
      <w:pPr>
        <w:pStyle w:val="TextBody"/>
        <w:bidi w:val="0"/>
        <w:spacing w:before="0" w:after="0"/>
        <w:ind w:left="0" w:right="0" w:hanging="0"/>
        <w:jc w:val="left"/>
      </w:pPr>
      <w:r>
        <w:t> </w:t>
      </w:r>
    </w:p>
    <w:tbl>
      <w:tblPr>
        <w:tblW w:w="6604" w:type="dxa"/>
        <w:jc w:val="left"/>
        <w:tblInd w:w="0" w:type="dxa"/>
        <w:tblLayout w:type="fixed"/>
        <w:tblCellMar>
          <w:top w:w="0" w:type="dxa"/>
          <w:left w:w="0" w:type="dxa"/>
          <w:bottom w:w="0" w:type="dxa"/>
          <w:right w:w="0" w:type="dxa"/>
        </w:tblCellMar>
      </w:tblPr>
      <w:tblGrid>
        <w:gridCol w:w="3935"/>
        <w:gridCol w:w="60"/>
        <w:gridCol w:w="240"/>
        <w:gridCol w:w="934"/>
        <w:gridCol w:w="60"/>
        <w:gridCol w:w="60"/>
        <w:gridCol w:w="125"/>
        <w:gridCol w:w="1130"/>
        <w:gridCol w:w="60"/>
      </w:tblGrid>
      <w:tr>
        <w:tc>
          <w:tcPr>
            <w:tcW w:w="39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shd w:fill="FFFFFF" w:val="clear"/>
            <w:vAlign w:val="center"/>
          </w:tcPr>
          <w:p>
            <w:pPr>
              <w:pStyle w:val="TableContents"/>
              <w:bidi w:val="0"/>
              <w:spacing w:before="0" w:after="0"/>
              <w:jc w:val="center"/>
            </w:pPr>
            <w:r>
              <w:rPr>
                <w:rStyle w:val="Emphasis"/>
                <w:rFonts w:ascii="Times New Roman;Times;serif" w:hAnsi="Times New Roman;Times;serif"/>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1130" w:type="dxa"/>
            <w:tcBorders/>
            <w:shd w:fill="FFFFFF" w:val="clear"/>
            <w:vAlign w:val="center"/>
          </w:tcPr>
          <w:p>
            <w:pPr>
              <w:pStyle w:val="TableContents"/>
              <w:bidi w:val="0"/>
              <w:spacing w:before="0" w:after="0"/>
              <w:jc w:val="cente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assets</w:t>
            </w:r>
          </w:p>
        </w:tc>
        <w:tc>
          <w:tcPr>
            <w:tcW w:w="60" w:type="dxa"/>
            <w:tcBorders/>
            <w:shd w:fill="CCEEFF" w:val="clear"/>
            <w:vAlign w:val="center"/>
          </w:tcPr>
          <w:p>
            <w:pPr>
              <w:pStyle w:val="TableContents"/>
              <w:bidi w:val="0"/>
              <w:spacing w:before="0" w:after="283"/>
              <w:ind w:left="0" w:right="0" w:hanging="0"/>
              <w:jc w:val="left"/>
            </w:pPr>
            <w: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1,154</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jc w:val="left"/>
            </w:pPr>
            <w:r>
              <w:t> </w:t>
            </w:r>
          </w:p>
        </w:tc>
        <w:tc>
          <w:tcPr>
            <w:tcW w:w="24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Other</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pPr>
            <w:r>
              <w:t> </w:t>
            </w:r>
          </w:p>
        </w:tc>
        <w:tc>
          <w:tcPr>
            <w:tcW w:w="24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disposal group held for sale</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CCEEFF" w:val="clear"/>
            <w:vAlign w:val="center"/>
          </w:tcPr>
          <w:p>
            <w:pPr>
              <w:pStyle w:val="TableContents"/>
              <w:bidi w:val="0"/>
              <w:spacing w:before="0" w:after="283"/>
              <w:jc w:val="left"/>
            </w:pPr>
            <w:r>
              <w:t> </w:t>
            </w:r>
          </w:p>
        </w:tc>
        <w:tc>
          <w:tcPr>
            <w:tcW w:w="24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CCEEFF" w:val="clear"/>
            <w:vAlign w:val="center"/>
          </w:tcPr>
          <w:p>
            <w:pPr>
              <w:pStyle w:val="TableContents"/>
              <w:bidi w:val="0"/>
              <w:spacing w:before="0" w:after="283"/>
              <w:jc w:val="left"/>
            </w:pPr>
            <w:r>
              <w:t> </w:t>
            </w:r>
          </w:p>
        </w:tc>
        <w:tc>
          <w:tcPr>
            <w:tcW w:w="24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affiliates</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pPr>
            <w:r>
              <w:t> </w:t>
            </w:r>
          </w:p>
        </w:tc>
        <w:tc>
          <w:tcPr>
            <w:tcW w:w="240" w:type="dxa"/>
            <w:tcBorders/>
            <w:shd w:fill="CCEEFF" w:val="clear"/>
            <w:vAlign w:val="center"/>
          </w:tcPr>
          <w:p>
            <w:pPr>
              <w:pStyle w:val="TableContents"/>
              <w:bidi w:val="0"/>
              <w:spacing w:before="0" w:after="283"/>
              <w:jc w:val="left"/>
            </w:pPr>
            <w: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60" w:type="dxa"/>
            <w:tcBorders/>
            <w:shd w:fill="CCEEFF" w:val="clear"/>
            <w:vAlign w:val="center"/>
          </w:tcPr>
          <w:p>
            <w:pPr>
              <w:pStyle w:val="TableContents"/>
              <w:bidi w:val="0"/>
              <w:spacing w:before="0" w:after="283"/>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pPr>
            <w:r>
              <w:t> </w:t>
            </w:r>
          </w:p>
        </w:tc>
        <w:tc>
          <w:tcPr>
            <w:tcW w:w="240" w:type="dxa"/>
            <w:tcBorders/>
            <w:shd w:fill="FFFFFF" w:val="clear"/>
            <w:vAlign w:val="center"/>
          </w:tcPr>
          <w:p>
            <w:pPr>
              <w:pStyle w:val="TableContents"/>
              <w:bidi w:val="0"/>
              <w:spacing w:before="0" w:after="283"/>
              <w:jc w:val="left"/>
            </w:pPr>
            <w: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11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1,872</w:t>
            </w:r>
          </w:p>
        </w:tc>
        <w:tc>
          <w:tcPr>
            <w:tcW w:w="60" w:type="dxa"/>
            <w:tcBorders/>
            <w:shd w:fill="FFFFFF" w:val="clear"/>
            <w:vAlign w:val="center"/>
          </w:tcPr>
          <w:p>
            <w:pPr>
              <w:pStyle w:val="TableContents"/>
              <w:bidi w:val="0"/>
              <w:spacing w:before="0" w:after="283"/>
              <w:jc w:val="left"/>
            </w:pPr>
            <w:r>
              <w:t> </w:t>
            </w:r>
          </w:p>
        </w:tc>
      </w:tr>
      <w:t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disposal group held for sale</w:t>
            </w:r>
          </w:p>
        </w:tc>
        <w:tc>
          <w:tcPr>
            <w:tcW w:w="60" w:type="dxa"/>
            <w:tcBorders/>
            <w:shd w:fill="CCEEFF" w:val="clear"/>
            <w:vAlign w:val="center"/>
          </w:tcPr>
          <w:p>
            <w:pPr>
              <w:pStyle w:val="TableContents"/>
              <w:bidi w:val="0"/>
              <w:spacing w:before="0" w:after="283"/>
              <w:ind w:left="0" w:right="0" w:hanging="0"/>
              <w:jc w:val="left"/>
            </w:pPr>
            <w: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11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60" w:type="dxa"/>
            <w:tcBorders>
              <w:bottom w:val="single" w:sz="2" w:space="0" w:color="000000"/>
            </w:tcBorders>
            <w:shd w:fill="CCEEFF" w:val="clear"/>
            <w:tcMar>
              <w:bottom w:w="28" w:type="dxa"/>
            </w:tcMar>
            <w:vAlign w:val="center"/>
          </w:tcPr>
          <w:p>
            <w:pPr>
              <w:pStyle w:val="TableContents"/>
              <w:bidi w:val="0"/>
              <w:spacing w:before="0" w:after="0"/>
              <w:jc w:val="left"/>
            </w:pPr>
            <w:r>
              <w:t> </w:t>
            </w:r>
          </w:p>
        </w:tc>
      </w:tr>
      <w:t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pPr>
            <w: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bookmarkStart w:id="25" w:name="fn19"/>
      <w:bookmarkEnd w:id="25"/>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xml:space="preserve"> Equity Affiliates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a number of investments in entities that engage in the manufacture and supply of vehicular parts (primarily axles and driveshafts).</w:t>
      </w:r>
    </w:p>
    <w:p>
      <w:pPr>
        <w:pStyle w:val="TextBody"/>
        <w:bidi w:val="0"/>
        <w:spacing w:before="0" w:after="0"/>
        <w:ind w:left="0" w:right="0" w:hanging="0"/>
        <w:jc w:val="left"/>
      </w:pPr>
      <w:r>
        <w:t> </w:t>
      </w:r>
    </w:p>
    <w:p>
      <w:pPr>
        <w:pStyle w:val="TextBody"/>
        <w:bidi w:val="0"/>
        <w:spacing w:before="0" w:after="0"/>
        <w:ind w:left="0" w:right="0" w:hanging="0"/>
        <w:jc w:val="left"/>
      </w:pPr>
      <w:r>
        <w:rPr>
          <w:rFonts w:ascii="Times New Roman;Times;serif" w:hAnsi="Times New Roman;Times;serif"/>
          <w:i/>
          <w:sz w:val="20"/>
        </w:rPr>
        <w:t xml:space="preserve">Equity method investments at </w:t>
      </w:r>
      <w:r>
        <w:rPr>
          <w:rStyle w:val="Emphasis"/>
          <w:rFonts w:ascii="Times New Roman;Times;serif" w:hAnsi="Times New Roman;Times;serif"/>
          <w:i/>
          <w:sz w:val="20"/>
        </w:rPr>
        <w:t>September 30, 2026</w:t>
      </w:r>
      <w:r>
        <w:rPr>
          <w:rFonts w:ascii="Times New Roman;Times;serif" w:hAnsi="Times New Roman;Times;serif"/>
          <w:sz w:val="20"/>
        </w:rPr>
        <w:t xml:space="preserve"> — </w:t>
      </w:r>
    </w:p>
    <w:p>
      <w:pPr>
        <w:pStyle w:val="TextBody"/>
        <w:bidi w:val="0"/>
        <w:spacing w:before="0" w:after="0"/>
        <w:ind w:left="0" w:right="0" w:hanging="0"/>
        <w:jc w:val="left"/>
      </w:pPr>
      <w:r>
        <w:t> </w:t>
      </w:r>
    </w:p>
    <w:tbl>
      <w:tblPr>
        <w:tblW w:w="6075" w:type="dxa"/>
        <w:jc w:val="left"/>
        <w:tblInd w:w="0" w:type="dxa"/>
        <w:tblLayout w:type="fixed"/>
        <w:tblCellMar>
          <w:top w:w="0" w:type="dxa"/>
          <w:left w:w="0" w:type="dxa"/>
          <w:bottom w:w="0" w:type="dxa"/>
          <w:right w:w="0" w:type="dxa"/>
        </w:tblCellMar>
      </w:tblPr>
      <w:tblGrid>
        <w:gridCol w:w="3125"/>
        <w:gridCol w:w="60"/>
        <w:gridCol w:w="1880"/>
        <w:gridCol w:w="60"/>
        <w:gridCol w:w="241"/>
        <w:gridCol w:w="649"/>
        <w:gridCol w:w="60"/>
      </w:tblGrid>
      <w:tr>
        <w:tc>
          <w:tcPr>
            <w:tcW w:w="31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Ownership Percentage</w:t>
            </w:r>
          </w:p>
        </w:tc>
        <w:tc>
          <w:tcPr>
            <w:tcW w:w="60" w:type="dxa"/>
            <w:tcBorders/>
            <w:shd w:fill="FFFFFF" w:val="clear"/>
            <w:vAlign w:val="center"/>
          </w:tcPr>
          <w:p>
            <w:pPr>
              <w:pStyle w:val="TableContents"/>
              <w:bidi w:val="0"/>
              <w:spacing w:before="0" w:after="283"/>
              <w:ind w:left="0" w:right="0" w:hanging="0"/>
              <w:jc w:val="left"/>
            </w:pPr>
            <w: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sz w:val="20"/>
              </w:rPr>
              <w:t>Investment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Dongfeng Dana Axle Co., Ltd.</w:t>
            </w:r>
          </w:p>
        </w:tc>
        <w:tc>
          <w:tcPr>
            <w:tcW w:w="60" w:type="dxa"/>
            <w:tcBorders/>
            <w:shd w:fill="CCEEFF" w:val="clear"/>
            <w:vAlign w:val="center"/>
          </w:tcPr>
          <w:p>
            <w:pPr>
              <w:pStyle w:val="TableContents"/>
              <w:bidi w:val="0"/>
              <w:spacing w:before="0" w:after="283"/>
              <w:ind w:left="0" w:right="0" w:hanging="0"/>
              <w:jc w:val="left"/>
            </w:pPr>
            <w:r>
              <w:t> </w:t>
            </w:r>
          </w:p>
        </w:tc>
        <w:tc>
          <w:tcPr>
            <w:tcW w:w="18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ind w:left="0" w:right="0" w:hanging="0"/>
              <w:jc w:val="left"/>
            </w:pPr>
            <w: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ROC-Spicer, Ltd.</w:t>
            </w:r>
          </w:p>
        </w:tc>
        <w:tc>
          <w:tcPr>
            <w:tcW w:w="60" w:type="dxa"/>
            <w:tcBorders/>
            <w:shd w:fill="FFFFFF" w:val="clear"/>
            <w:vAlign w:val="center"/>
          </w:tcPr>
          <w:p>
            <w:pPr>
              <w:pStyle w:val="TableContents"/>
              <w:bidi w:val="0"/>
              <w:spacing w:before="0" w:after="283"/>
              <w:ind w:left="0" w:right="0" w:hanging="0"/>
              <w:jc w:val="left"/>
            </w:pPr>
            <w:r>
              <w:t> </w:t>
            </w:r>
          </w:p>
        </w:tc>
        <w:tc>
          <w:tcPr>
            <w:tcW w:w="188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ind w:left="0" w:right="0" w:hanging="0"/>
              <w:jc w:val="left"/>
            </w:pPr>
            <w: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pPr>
            <w: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Tai Ya Investment (HK) Co., Limited</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others as a group</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equity affiliates</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ind w:left="0" w:right="0" w:hanging="0"/>
              <w:jc w:val="left"/>
            </w:pPr>
            <w:r>
              <w:t> </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affiliates carried at cost</w:t>
            </w:r>
          </w:p>
        </w:tc>
        <w:tc>
          <w:tcPr>
            <w:tcW w:w="60" w:type="dxa"/>
            <w:tcBorders/>
            <w:shd w:fill="FFFFFF" w:val="clear"/>
            <w:vAlign w:val="center"/>
          </w:tcPr>
          <w:p>
            <w:pPr>
              <w:pStyle w:val="TableContents"/>
              <w:bidi w:val="0"/>
              <w:spacing w:before="0" w:after="283"/>
              <w:jc w:val="left"/>
            </w:pPr>
            <w:r>
              <w:t> </w:t>
            </w:r>
          </w:p>
        </w:tc>
        <w:tc>
          <w:tcPr>
            <w:tcW w:w="1880"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ind w:left="0" w:right="0" w:hanging="0"/>
              <w:jc w:val="left"/>
              <w:rPr>
                <w:color w:val="000000"/>
              </w:rPr>
            </w:pPr>
            <w:r>
              <w:rPr>
                <w:color w:val="000000"/>
              </w:rPr>
              <w:t> </w:t>
            </w:r>
          </w:p>
        </w:tc>
        <w:tc>
          <w:tcPr>
            <w:tcW w:w="649"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w:t>
            </w:r>
          </w:p>
        </w:tc>
        <w:tc>
          <w:tcPr>
            <w:tcW w:w="60" w:type="dxa"/>
            <w:tcBorders/>
            <w:shd w:fill="FFFFFF" w:val="clear"/>
            <w:vAlign w:val="center"/>
          </w:tcPr>
          <w:p>
            <w:pPr>
              <w:pStyle w:val="TableContents"/>
              <w:bidi w:val="0"/>
              <w:spacing w:before="0" w:after="283"/>
              <w:jc w:val="left"/>
              <w:rPr>
                <w:color w:val="000000"/>
              </w:rPr>
            </w:pPr>
            <w:r>
              <w:rPr>
                <w:color w:val="000000"/>
              </w:rP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affiliates</w:t>
            </w:r>
          </w:p>
        </w:tc>
        <w:tc>
          <w:tcPr>
            <w:tcW w:w="60" w:type="dxa"/>
            <w:tcBorders/>
            <w:shd w:fill="CCEEFF" w:val="clear"/>
            <w:vAlign w:val="center"/>
          </w:tcPr>
          <w:p>
            <w:pPr>
              <w:pStyle w:val="TableContents"/>
              <w:bidi w:val="0"/>
              <w:spacing w:before="0" w:after="283"/>
              <w:jc w:val="left"/>
            </w:pPr>
            <w:r>
              <w:t> </w:t>
            </w:r>
          </w:p>
        </w:tc>
        <w:tc>
          <w:tcPr>
            <w:tcW w:w="1880"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ind w:left="0" w:right="0" w:hanging="0"/>
              <w:jc w:val="left"/>
            </w:pPr>
            <w: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114</w:t>
            </w:r>
          </w:p>
        </w:tc>
        <w:tc>
          <w:tcPr>
            <w:tcW w:w="60" w:type="dxa"/>
            <w:tcBorders/>
            <w:shd w:fill="CCEEFF" w:val="cle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hanging="0"/>
        <w:jc w:val="left"/>
        <w:rPr>
          <w:color w:val="000000"/>
        </w:rPr>
      </w:pPr>
      <w:r>
        <w:rPr>
          <w:color w:val="000000"/>
        </w:rPr>
        <w:t> </w:t>
      </w:r>
    </w:p>
    <w:p>
      <w:pPr>
        <w:pStyle w:val="TextBody"/>
        <w:bidi w:val="0"/>
        <w:spacing w:before="0" w:after="0"/>
        <w:ind w:left="0" w:right="0" w:firstLine="36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April 25, 2025, </w:t>
      </w:r>
      <w:r>
        <w:rPr>
          <w:rFonts w:ascii="Times New Roman;Times;serif" w:hAnsi="Times New Roman;Times;serif"/>
          <w:sz w:val="20"/>
        </w:rPr>
        <w:t>we sold our 48% ownership interest in Axles India Limited for $43 in cash. The $19 pre-tax gain on the transaction is included in equity in earnings of affiliates.</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sz w:val="20"/>
        </w:rPr>
        <w:t xml:space="preserve">On </w:t>
      </w:r>
      <w:r>
        <w:rPr>
          <w:rStyle w:val="Emphasis"/>
          <w:rFonts w:ascii="Times New Roman;Times;serif" w:hAnsi="Times New Roman;Times;serif"/>
          <w:sz w:val="20"/>
        </w:rPr>
        <w:t xml:space="preserve">June 6, 2025, </w:t>
      </w:r>
      <w:r>
        <w:rPr>
          <w:rFonts w:ascii="Times New Roman;Times;serif" w:hAnsi="Times New Roman;Times;serif"/>
          <w:sz w:val="20"/>
        </w:rPr>
        <w:t>we sold our ownership interest in Switch Mobility Limited for $10. The $8 pre-tax loss on the transaction is included in other income (expense), net.</w:t>
      </w:r>
    </w:p>
    <w:p>
      <w:pPr>
        <w:pStyle w:val="TextBody"/>
        <w:bidi w:val="0"/>
        <w:spacing w:before="0" w:after="0"/>
        <w:ind w:left="0" w:right="0" w:hanging="0"/>
        <w:jc w:val="left"/>
        <w:rPr>
          <w:color w:val="000000"/>
        </w:rPr>
      </w:pPr>
      <w:r>
        <w:rPr>
          <w:color w:val="000000"/>
        </w:rPr>
        <w:t> </w:t>
      </w:r>
    </w:p>
    <w:p>
      <w:pPr>
        <w:pStyle w:val="TextBody"/>
        <w:bidi w:val="0"/>
        <w:spacing w:before="0" w:after="0"/>
        <w:jc w:val="cente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bookmarkStart w:id="26" w:name="item2"/>
      <w:bookmarkEnd w:id="26"/>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 (Dollars in millions)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should be read in conjunction with the financial statements and accompanying notes in this report.</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Information</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Statements in this report (or otherwise made by us or on our behalf) that are not entirely historical constitute “forward-looking statements” within the meaning of the Private Securities Litigation Reform Act of 1995. Such forward-looking statements can often be identified by words such as “anticipates,” “expects,” “believes,” “intends,” “plans,” “predicts,” “seeks,” “estimates,” “projects,” “outlook,” “may,” “will,” “should,” “would,” “could,” “potential,” “continue,” “ongoing” and similar expressions, variations or negatives of these words. These statements represent the present expectations of Dana Incorporated and its consolidated subsidiaries (Dana) based on our current information and assumptions. Forward-looking statements are inherently subject to risks and uncertainties. Our plans, actions and actual results could differ materially from our present expectations due to a number of factors, including those discussed below and elsewhere in this report and in our other filings with the Securities and Exchange Commission (SEC). All forward-looking statements speak only as of the date made and we undertake no obligation to publicly update or revise any forward-looking statement to reflect events or circumstances that may arise after the date of this report.</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Strategic Actions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Cost reduction initiatives</w:t>
      </w:r>
      <w:r>
        <w:rPr>
          <w:rFonts w:ascii="Times New Roman;Times;serif" w:hAnsi="Times New Roman;Times;serif"/>
          <w:caps w:val="false"/>
          <w:smallCaps w:val="false"/>
          <w:sz w:val="20"/>
        </w:rPr>
        <w:t xml:space="preserve"> — During the fourth quarter of 2024, we announced further actions to support sustained long-term profitability and enhanced cash flow generation. This includes substantial reduction in selling, general and administrative costs and aligning engineering expenses to match current industry dynamics, including the ongoing delay in the adoption of electric vehicles. We expect to deliver annualized savings of $325 through 2026. Approximately $260 of annualized savings was realized through 2025 with an additional $65 to be realized in 2026. See Note 4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Segment realignment</w:t>
      </w:r>
      <w:r>
        <w:rPr>
          <w:rFonts w:ascii="Times New Roman;Times;serif" w:hAnsi="Times New Roman;Times;serif"/>
          <w:caps w:val="false"/>
          <w:smallCaps w:val="false"/>
          <w:sz w:val="20"/>
        </w:rPr>
        <w:t xml:space="preserve"> — Through December 2024, we managed our operations globally through four operating segments. Our Light Vehicle and Power Technologies segments primarily supported light vehicle original equipment manufacturers (OEMs) with products for light trucks, SUVs, CUVs, vans and passenger cars. Our Commercial Vehicles segment supported the OEMs of on-highway commercial vehicles (primarily trucks and buses), while our Off-Highway segment supported OEMs of off-highway vehicles (primarily wheeled vehicles used in construction, mining and agricultural applications). In the first quarter of 2025, our Power Technologies segment was integrated into our Light Vehicle and Commercial Vehicle segments, streamlining the business, enhancing our go-to-market approach and serving our customers more efficiently. The OEM-facing business was integrated into our Light Vehicle segment while the aftermarket business was integrated into our Commercial Vehicle segment. See Note 17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Divestiture of Off-Highway Business</w:t>
      </w:r>
      <w:r>
        <w:rPr>
          <w:rFonts w:ascii="Times New Roman;Times;serif" w:hAnsi="Times New Roman;Times;serif"/>
          <w:caps w:val="false"/>
          <w:smallCaps w:val="false"/>
          <w:sz w:val="20"/>
        </w:rPr>
        <w:t xml:space="preserve"> — Dana has embarked on a strategic plan to focus on our core on-highway markets, creating a more focused and nimble Dana through the divestiture of our Off-Highway business. In June 2025, we entered into a definitive agreement to sell our Off-Highway business to Allison Transmission Holdings, Inc. We analyzed the quantitative and qualitative factors relevant to the divestiture of our Off-Highway business and determined that the conditions for discontinued operations presentation had been met. As such, the financial position, results of operations and cash flows of that business are reported as discontinued operations in the accompanying consolidated financial statements. Prior period amounts have been recast to reflect discontinued operations presentation. The transaction closed on January 1, 2026, with Dana receiving cash proceeds of $2,630. See Note 1 and Note 2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Capital Structure Initiatives</w:t>
      </w:r>
      <w:r>
        <w:rPr>
          <w:rFonts w:ascii="Times New Roman;Times;serif" w:hAnsi="Times New Roman;Times;serif"/>
          <w:caps w:val="false"/>
          <w:smallCaps w:val="false"/>
          <w:sz w:val="20"/>
        </w:rPr>
        <w:t xml:space="preserve"> — Net cash proceeds from the Off-Highway business divestiture were used to pay down debt, strengthening Dana’s financial position, and provide capital returns to shareholders. On January 7, 2026, we purchased, via a net proceeds tender offer, $138 of our November 2027 Notes, $142 of our June 2028 Notes, €141 of our July 2029 Notes ($164 as of January 7, 2026), $173 of our September 2030 Notes, €9 of our July 2031 Notes ($10 as of January 7, 2026) and $152 of our February 2032 Notes at prices equal to 100.00% plus accrued and unpaid interest. On January 8, 2026, we redeemed the remaining $262 of our November 2027 Notes and the remaining $258 of our June 2028 Notes at prices equal to 100.00% plus accrued and unpaid interest. In addition, on January 2, 2026, we repaid the $225 outstanding balance on our 2025 Term A Facility and the $390 of outstanding borrowings on our Revolving Facility. On July 28, 2026, we drew $500 on our 2026 Term A Facility. On July 31, 2026, we redeemed all of our outstanding July 2031 Notes at a price equal to 104.25% plus accrued and unpaid interest. See Note 10 of our consolidated financial statements in Item 1 of Part I for additional information. On June 8, 2025, Dana’s board of directors approved a program to provide up to a $1,000 return of capital to shareholders through common stock share repurchases and/or special dividends through the end of 2027. On February 11, 2026, Dana's board of directors increased and extended the share repurchase program to a total of $2,000 through the end of 2030. Through September 30, 2026, we have spent $1,020 to repurchase 46,509,080 shares under the approved stock repurchase program. See Note 6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Aftermarket opportunities</w:t>
      </w:r>
      <w:r>
        <w:rPr>
          <w:rFonts w:ascii="Times New Roman;Times;serif" w:hAnsi="Times New Roman;Times;serif"/>
          <w:caps w:val="false"/>
          <w:smallCaps w:val="false"/>
          <w:sz w:val="20"/>
        </w:rPr>
        <w:t xml:space="preserve"> — We have a global group dedicated to identifying and developing aftermarket growth opportunities that leverage the capabilities within our existing businesses – targeting increased future aftermarket sales. Powered by recognized brands such as Dana®, Spicer®, Spicer Electrified™, Victor Reinz®, Glaser®, GWB®, Thompson®, Tru-Cool®, SVL®, and Transejes™, Dana delivers a broad range of aftermarket solutions – including genuine, all makes, and value lines – servicing passenger and commercial vehicles across the globe.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Selective acquisitions</w:t>
      </w:r>
      <w:r>
        <w:rPr>
          <w:rFonts w:ascii="Times New Roman;Times;serif" w:hAnsi="Times New Roman;Times;serif"/>
          <w:caps w:val="false"/>
          <w:smallCaps w:val="false"/>
          <w:sz w:val="20"/>
        </w:rPr>
        <w:t xml:space="preserve"> — Although transformational opportunities will be considered when strategically and economically attractive, our acquisition focus is principally directed at “bolt-on” or adjacent acquisition opportunities that have a strategic fit with our existing core businesses, particularly opportunities that support our enterprise strategy and enhance the value proposition of our product offerings. Any potential acquisition will be evaluated in the same manner we currently consider customer program opportunities and other uses of capital – with a disciplined financial approach designed to ensure profitable growth and increased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Eaton Mobility Business</w:t>
      </w:r>
      <w:r>
        <w:rPr>
          <w:rFonts w:ascii="Times New Roman;Times;serif" w:hAnsi="Times New Roman;Times;serif"/>
          <w:caps w:val="false"/>
          <w:smallCaps w:val="false"/>
          <w:sz w:val="20"/>
        </w:rPr>
        <w:t> — On June 10, 2026, Dana entered into definitive agreements with Eaton Corporation plc (Eaton) and certain wholly owned subsidiaries of Eaton, including Mobility (USA) Corporation (the SpinCo), to acquire Eaton’s Vehicle and eMobility business segments (Mobility business). The structure of the transaction is a Reverse Morris Trust. Following the separation of the Mobility business from Eaton, a subsidiary of SpinCo will merge with and into Dana, and Dana will survive this merger as a direct wholly owned subsidiary of SpinCo. Immediately following this merger, and as part of the same overall transaction, Dana, as the surviving corporation, will merge with and into another direct wholly owned subsidiary of SpinCo, with that subsidiary surviving as a directly wholly owned subsidiary of SpinCo. In the merger, each outstanding share of Dana will be converted into the right to receive one SpinCo share. Prior to or at the closing, a subsidiary of Eaton will sell to Dana 100% of the stock in Royal Precision Holdings Corp. in exchange for cash consideration (the Royal Precision Purchase Price). In addition, certain subsidiaries of Eaton will sell certain specified assets (as defined in the Separation Agreement) to Dana in exchange for cash consideration (the Specified Assets Purchase Price). When the transaction is completed, former Eaton shareholders will own, in the aggregate, 50.1% and former Dana shareholders will own, in the aggregate, 49.9% of the outstanding shares of SpinCo common stock on a fully diluted basis. Under the terms of the agreement, Eaton will receive a cash distribution of approximately $1,100, subject to adjustment for cash and indebtedness, reduced by the Royal Precision Purchase Price and the Specified Assets Purchase Price, and increased as a result of any pre-closing share repurchases by Dana pursuant to the Share Buyback Side Letter. The transaction has been unanimously approved by the Boards of Directors of both Dana and Eaton. No vote by Eaton shareholders is required. The transaction is intended to be tax-free to Dana and Eaton shareholders for U.S. federal income tax purposes. The transaction is anticipated to close in the second quarter of 2027, subject to approval by Dana's shareholders and customary closing conditions, including receipt of regulatory approvals. The agreements contain certain customary termination rights for Dana and Eaton, including, without limitation, a right for either party to terminate if the transaction is not completed on or before June 10, 2027. Termination resulting from Dana shareholders voting against the transaction would result in Dana having to reimburse Eaton for certain expenses in an amount not to exceed $20. Termination under specified circumstances would require Dana to pay Eaton a termination fee of $159. In anticipation of the transaction, Mobility (USA) Corporation and Dana became parties to a $2,600 bridge facility, a $350 secured term loan A commitment and a $1,200 secured revolving credit facility commitment. See Note 10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Overview</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Dana, with history dating back to 1904, is headquartered in Maumee, Ohio. We are a world leader in providing power-conveyance and energy-management solutions for on-highway vehicles. The company's portfolio improves the efficiency, performance, and sustainability of light and commercial vehicles. Our technologies include drive systems (axles, driveshafts and transmissions); electrodynamic technologies (motors, inverters, software and control systems, battery-management systems, and fuel cell plates); sealing solutions (gaskets, seals, cam covers, and oil pan modules); thermal-management technologies (transmission and engine oil cooling, battery and electronics cooling, charge air cooling, and thermal-acoustical protective shielding); and digital solutions (active and passive system controls and descriptive and predictive analytics). We serve our global light vehicle and medium/heavy vehicle markets through two business units – Light Vehicle Systems (Light Vehicle) and Commercial Vehicle Systems (Commercial Vehicle). At September 30, 2026, we employed approximately 27,500 people and operated in 24 countries.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External sales by operating segment for the periods ended September 30, 2026 and 2025 are as follows:</w:t>
      </w:r>
    </w:p>
    <w:p>
      <w:pPr>
        <w:pStyle w:val="TextBody"/>
        <w:bidi w:val="0"/>
        <w:spacing w:before="0" w:after="0"/>
        <w:ind w:left="0" w:right="0" w:hanging="0"/>
        <w:jc w:val="left"/>
      </w:pPr>
      <w:r>
        <w:t> </w:t>
      </w:r>
    </w:p>
    <w:tbl>
      <w:tblPr>
        <w:tblW w:w="7950" w:type="dxa"/>
        <w:jc w:val="left"/>
        <w:tblInd w:w="0" w:type="dxa"/>
        <w:tblLayout w:type="fixed"/>
        <w:tblCellMar>
          <w:top w:w="0" w:type="dxa"/>
          <w:left w:w="0" w:type="dxa"/>
          <w:bottom w:w="0" w:type="dxa"/>
          <w:right w:w="0" w:type="dxa"/>
        </w:tblCellMar>
      </w:tblPr>
      <w:tblGrid>
        <w:gridCol w:w="1685"/>
        <w:gridCol w:w="60"/>
        <w:gridCol w:w="141"/>
        <w:gridCol w:w="549"/>
        <w:gridCol w:w="68"/>
        <w:gridCol w:w="68"/>
        <w:gridCol w:w="68"/>
        <w:gridCol w:w="430"/>
        <w:gridCol w:w="209"/>
        <w:gridCol w:w="68"/>
        <w:gridCol w:w="141"/>
        <w:gridCol w:w="549"/>
        <w:gridCol w:w="68"/>
        <w:gridCol w:w="68"/>
        <w:gridCol w:w="68"/>
        <w:gridCol w:w="430"/>
        <w:gridCol w:w="185"/>
        <w:gridCol w:w="60"/>
        <w:gridCol w:w="138"/>
        <w:gridCol w:w="535"/>
        <w:gridCol w:w="66"/>
        <w:gridCol w:w="66"/>
        <w:gridCol w:w="66"/>
        <w:gridCol w:w="419"/>
        <w:gridCol w:w="204"/>
        <w:gridCol w:w="66"/>
        <w:gridCol w:w="138"/>
        <w:gridCol w:w="535"/>
        <w:gridCol w:w="66"/>
        <w:gridCol w:w="66"/>
        <w:gridCol w:w="66"/>
        <w:gridCol w:w="419"/>
        <w:gridCol w:w="185"/>
      </w:tblGrid>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13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1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549" w:type="dxa"/>
            <w:tcBorders/>
            <w:shd w:fill="FFFFFF" w:val="clear"/>
            <w:vAlign w:val="center"/>
          </w:tcPr>
          <w:p>
            <w:pPr>
              <w:pStyle w:val="TableContents"/>
              <w:bidi w:val="0"/>
              <w:spacing w:before="0" w:after="283"/>
              <w:jc w:val="center"/>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9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209"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1" w:type="dxa"/>
            <w:tcBorders/>
            <w:shd w:fill="FFFFFF" w:val="clear"/>
            <w:vAlign w:val="center"/>
          </w:tcPr>
          <w:p>
            <w:pPr>
              <w:pStyle w:val="TableContents"/>
              <w:bidi w:val="0"/>
              <w:spacing w:before="0" w:after="283"/>
              <w:jc w:val="left"/>
            </w:pPr>
            <w:r>
              <w:t> </w:t>
            </w:r>
          </w:p>
        </w:tc>
        <w:tc>
          <w:tcPr>
            <w:tcW w:w="549" w:type="dxa"/>
            <w:tcBorders/>
            <w:shd w:fill="FFFFFF" w:val="clear"/>
            <w:vAlign w:val="center"/>
          </w:tcPr>
          <w:p>
            <w:pPr>
              <w:pStyle w:val="TableContents"/>
              <w:bidi w:val="0"/>
              <w:spacing w:before="0" w:after="283"/>
              <w:jc w:val="center"/>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9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535" w:type="dxa"/>
            <w:tcBorders/>
            <w:shd w:fill="FFFFFF" w:val="clear"/>
            <w:vAlign w:val="center"/>
          </w:tcPr>
          <w:p>
            <w:pPr>
              <w:pStyle w:val="TableContents"/>
              <w:bidi w:val="0"/>
              <w:spacing w:before="0" w:after="283"/>
              <w:jc w:val="center"/>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204"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jc w:val="left"/>
            </w:pPr>
            <w:r>
              <w:t> </w:t>
            </w:r>
          </w:p>
        </w:tc>
        <w:tc>
          <w:tcPr>
            <w:tcW w:w="535" w:type="dxa"/>
            <w:tcBorders/>
            <w:shd w:fill="FFFFFF" w:val="clear"/>
            <w:vAlign w:val="center"/>
          </w:tcPr>
          <w:p>
            <w:pPr>
              <w:pStyle w:val="TableContents"/>
              <w:bidi w:val="0"/>
              <w:spacing w:before="0" w:after="283"/>
              <w:jc w:val="center"/>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w:t>
            </w:r>
          </w:p>
        </w:tc>
        <w:tc>
          <w:tcPr>
            <w:tcW w:w="185" w:type="dxa"/>
            <w:tcBorders/>
            <w:shd w:fill="FFFFFF" w:val="clear"/>
            <w:vAlign w:val="center"/>
          </w:tcPr>
          <w:p>
            <w:pPr>
              <w:pStyle w:val="TableContents"/>
              <w:bidi w:val="0"/>
              <w:spacing w:before="0" w:after="283"/>
              <w:jc w:val="left"/>
            </w:pPr>
            <w:r>
              <w:t> </w:t>
            </w:r>
          </w:p>
        </w:tc>
      </w:tr>
      <w:tr>
        <w:tc>
          <w:tcPr>
            <w:tcW w:w="16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6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6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pPr>
            <w: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4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4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4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w:t>
            </w:r>
          </w:p>
        </w:tc>
        <w:tc>
          <w:tcPr>
            <w:tcW w:w="60"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pPr>
            <w: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ind w:left="0" w:right="0" w:hanging="0"/>
              <w:jc w:val="left"/>
            </w:pPr>
            <w:r>
              <w:t> </w:t>
            </w:r>
          </w:p>
        </w:tc>
        <w:tc>
          <w:tcPr>
            <w:tcW w:w="4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ind w:left="0" w:right="0" w:hanging="0"/>
              <w:jc w:val="left"/>
            </w:pPr>
            <w:r>
              <w:t> </w:t>
            </w:r>
          </w:p>
        </w:tc>
        <w:tc>
          <w:tcPr>
            <w:tcW w:w="4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430" w:type="dxa"/>
            <w:tcBorders/>
            <w:shd w:fill="CCEEFF" w:val="clear"/>
            <w:vAlign w:val="center"/>
          </w:tcPr>
          <w:p>
            <w:pPr>
              <w:pStyle w:val="TableContents"/>
              <w:bidi w:val="0"/>
              <w:spacing w:before="0" w:after="283"/>
              <w:jc w:val="right"/>
            </w:pPr>
            <w:r>
              <w:t> </w:t>
            </w:r>
          </w:p>
        </w:tc>
        <w:tc>
          <w:tcPr>
            <w:tcW w:w="209"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jc w:val="left"/>
            </w:pPr>
            <w:r>
              <w:t> </w:t>
            </w:r>
          </w:p>
        </w:tc>
        <w:tc>
          <w:tcPr>
            <w:tcW w:w="430"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419" w:type="dxa"/>
            <w:tcBorders/>
            <w:shd w:fill="CCEEFF" w:val="clear"/>
            <w:vAlign w:val="center"/>
          </w:tcPr>
          <w:p>
            <w:pPr>
              <w:pStyle w:val="TableContents"/>
              <w:bidi w:val="0"/>
              <w:spacing w:before="0" w:after="283"/>
              <w:jc w:val="right"/>
            </w:pPr>
            <w:r>
              <w:t> </w:t>
            </w:r>
          </w:p>
        </w:tc>
        <w:tc>
          <w:tcPr>
            <w:tcW w:w="204"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jc w:val="left"/>
            </w:pPr>
            <w:r>
              <w:t> </w:t>
            </w:r>
          </w:p>
        </w:tc>
        <w:tc>
          <w:tcPr>
            <w:tcW w:w="419"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See Note 17 to our consolidated financial statements in Item 1 of Part I for further financial information about our operating segments.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internet address is www.dana.com. The inclusion of our website address in this report is an inactive textual reference only and is not intended to include or incorporate by reference the information on our website into this report.</w:t>
      </w:r>
    </w:p>
    <w:p>
      <w:pPr>
        <w:pStyle w:val="TextBody"/>
        <w:bidi w:val="0"/>
        <w:spacing w:before="0" w:after="0"/>
        <w:ind w:left="0" w:right="0" w:firstLine="36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in Our Markets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serve our customers in two core global end markets: light vehicle, primarily full frame trucks and SUVs; and commercial vehicle, including medium-and heavy-duty trucks and busses. Each of our end-markets has unique cyclical dynamics and market drivers. These cycles are impacted by periods of investment where end-user vehicle fleets are refreshed or expanded in reaction to demand usage patterns, regulatory changes, or when the age of vehicles in service reach their useful life. Key market drivers include regional economic growth rates; cost and availability of end customer financing; and industrial output. Our multi-market coverage and broad customer base help provide stability across the cycles while mitigating secular variability.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Light vehicle markets</w:t>
      </w:r>
      <w:r>
        <w:rPr>
          <w:rFonts w:ascii="Times New Roman;Times;serif" w:hAnsi="Times New Roman;Times;serif"/>
          <w:caps w:val="false"/>
          <w:smallCaps w:val="false"/>
          <w:sz w:val="20"/>
        </w:rPr>
        <w:t xml:space="preserve"> — Our driveline business is weighted more heavily to the truck and SUV segments of the light-vehicle market versus the passenger-car segment. Our vehicle content is greater on rear-wheel drive, four-wheel drive, and all-wheel drive vehicles, as well as hybrid and electric vehicles. During 2025, light-truck markets showed marginal improvement across all regions except North America, which was flat compared to 2024. The outlook for 2026 reflects global light-truck production being relatively stable in North America and Asia Pacific, while Europe and South America reflect marginal improvement, in comparison with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Commercial vehicle markets</w:t>
      </w:r>
      <w:r>
        <w:rPr>
          <w:rFonts w:ascii="Times New Roman;Times;serif" w:hAnsi="Times New Roman;Times;serif"/>
          <w:caps w:val="false"/>
          <w:smallCaps w:val="false"/>
          <w:sz w:val="20"/>
        </w:rPr>
        <w:t xml:space="preserve"> — Our primary business is driveline systems for medium and heavy-duty trucks and busses, including the emerging market for hybrid and electric vehicles. Key regional markets are North America, South America (primarily Brazil) and Asia Pacific. During 2025, production of Class-8 and Classes 5-7 trucks in North America both decreased 23% compared to 2024. The outlook for 2026 is for a modest decrease in production of Classes 5-7 trucks and a modest increase in Class-8 truck production compared to the prior year. Outside of North America, production of medium- and heavy-duty trucks in South America decreased 7% compared to 2024, reflecting relatively stable economic conditions in the region. The 2026 outlook for South America reflects medium- and heavy-duty production being relatively flat compared to the prior year. Production of medium- and heavy-duty trucks in Asia Pacific, driven by China and India, increased 12% in 2025. The 2026 outlook for Asia Pacific is for a modest increase in production from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Foreign currency</w:t>
      </w:r>
      <w:r>
        <w:rPr>
          <w:rFonts w:ascii="Times New Roman;Times;serif" w:hAnsi="Times New Roman;Times;serif"/>
          <w:caps w:val="false"/>
          <w:smallCaps w:val="false"/>
          <w:sz w:val="20"/>
        </w:rPr>
        <w:t xml:space="preserve"> — With 43% of our first nine months 2026 sales coming from outside the U.S., international currency movements can have a significant effect on our sales and results of operations. The euro zone countries accounted for 32% of our year-to-date 2026 non-U.S. sales, while Brazil, India, Thailand, China, Argentina and South Africa accounted for 15%, 10%, 7%, 7%, 7% and 6%, respectively. International currencies strengthened against the U.S. dollar during the first nine months of 2026, increasing sales by $93, with the effects of a stronger euro, Brazilian real, South African rand, Chinese renminbi and Mexican peso being partially offset by a weaker Indian rupee.</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Argentina has experienced significant inflationary pressures the past few years, contributing to significant devaluation of its currency among other economic challenges. Our Argentine operation supports our Light Vehicle operating segment. Our sales in Argentina for the nine months of 2026 of approximately $173 are 3% of our consolidated sales and our net asset exposure related to Argentina was approximately $74, including $20 of net fixed assets, at September 30, 2026. During the second quarter of 2018, we determined that Argentina's economy met the GAAP definition of a highly inflationary economy. In assessing Argentina's economy as highly inflationary we considered its three-year cumulative inflation rate along with other factors. As a result, effective July 1, 2018, the U.S. dollar is the functional currency for our Argentine operations, rather than the Argentine peso. Beginning July 1, 2018, peso-denominated monetary assets and liabilities are remeasured into U.S. dollars using current Argentine peso exchange rates with resulting translation gains or losses included in results of operations. Nonmonetary assets and liabilities are remeasured into U.S. dollar using historic Argentine peso exchange rates.</w:t>
      </w:r>
    </w:p>
    <w:p>
      <w:pPr>
        <w:pStyle w:val="TextBody"/>
        <w:bidi w:val="0"/>
        <w:spacing w:before="0" w:after="0"/>
        <w:ind w:left="1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Commodity costs</w:t>
      </w:r>
      <w:r>
        <w:rPr>
          <w:rFonts w:ascii="Times New Roman;Times;serif" w:hAnsi="Times New Roman;Times;serif"/>
          <w:caps w:val="false"/>
          <w:smallCaps w:val="false"/>
          <w:sz w:val="20"/>
        </w:rPr>
        <w:t> — The cost of our products may be significantly impacted by changes in raw material commodity prices, the most important to us being those of various grades of steel, aluminum, copper, brass and rare earth materials. The effects of changes in commodity prices are reflected directly in our purchases of commodities and indirectly through our purchases of products such as castings, forgings, bearings, batteries and component parts that include commodities. Most of our major customer agreements provide for the sharing of significant commodity price changes with those customers based on the movement in various published commodity indexes. Where such formal agreements are not present, we have historically been successful implementing price adjustments that largely compensate for the inflationary impact of material costs. Material cost changes will customarily have some impact on our financial results as customer pricing adjustments typically lag commodity price changes. Higher year-over-year commodity prices decreased earnings during the third quarter and first nine months of 2026 by $17 and $40, respectively. Material cost recovery pricing actions increased earnings in the third quarter and first nine months of 2026 by $17 and $35, respectively.</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Earnings and Cash Flow Outlook</w:t>
      </w:r>
    </w:p>
    <w:p>
      <w:pPr>
        <w:pStyle w:val="TextBody"/>
        <w:bidi w:val="0"/>
        <w:spacing w:before="0" w:after="0"/>
        <w:ind w:left="0" w:right="0" w:hanging="0"/>
        <w:jc w:val="left"/>
      </w:pPr>
      <w:r>
        <w:t> </w:t>
      </w:r>
    </w:p>
    <w:tbl>
      <w:tblPr>
        <w:tblW w:w="3355" w:type="dxa"/>
        <w:jc w:val="left"/>
        <w:tblInd w:w="0" w:type="dxa"/>
        <w:tblLayout w:type="fixed"/>
        <w:tblCellMar>
          <w:top w:w="0" w:type="dxa"/>
          <w:left w:w="0" w:type="dxa"/>
          <w:bottom w:w="0" w:type="dxa"/>
          <w:right w:w="0" w:type="dxa"/>
        </w:tblCellMar>
      </w:tblPr>
      <w:tblGrid>
        <w:gridCol w:w="2045"/>
        <w:gridCol w:w="1310"/>
      </w:tblGrid>
      <w:tr>
        <w:tc>
          <w:tcPr>
            <w:tcW w:w="2045" w:type="dxa"/>
            <w:tcBorders/>
            <w:shd w:fill="FFFFFF" w:val="clear"/>
            <w:vAlign w:val="center"/>
          </w:tcPr>
          <w:p>
            <w:pPr>
              <w:pStyle w:val="TableContents"/>
              <w:bidi w:val="0"/>
              <w:spacing w:before="0" w:after="283"/>
              <w:jc w:val="left"/>
            </w:pPr>
            <w:r>
              <w:t> </w:t>
            </w:r>
          </w:p>
        </w:tc>
        <w:tc>
          <w:tcPr>
            <w:tcW w:w="13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 Outlook</w:t>
            </w:r>
          </w:p>
        </w:tc>
      </w:tr>
      <w:t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$7,750 - $7,850</w:t>
            </w:r>
          </w:p>
        </w:tc>
      </w:tr>
      <w:tr>
        <w:tc>
          <w:tcPr>
            <w:tcW w:w="20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131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$800 - $850</w:t>
            </w:r>
          </w:p>
        </w:tc>
      </w:tr>
      <w:tr>
        <w:tc>
          <w:tcPr>
            <w:tcW w:w="20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Free Cash Flow</w:t>
            </w:r>
          </w:p>
        </w:tc>
        <w:tc>
          <w:tcPr>
            <w:tcW w:w="131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$275 - $375</w:t>
            </w:r>
          </w:p>
        </w:tc>
      </w:tr>
    </w:tbl>
    <w:p>
      <w:pPr>
        <w:pStyle w:val="TextBody"/>
        <w:bidi w:val="0"/>
        <w:spacing w:before="0" w:after="0"/>
        <w:ind w:left="0" w:right="0" w:firstLine="36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and adjusted free cash flow are non-GAAP financial measures. See the Non-GAAP Financial Measures discussion below for definitions of our non-GAAP financial measures and reconciliations to the most directly comparable U.S. generally accepted accounting principles (GAAP) measures. We have not provided a reconciliation of our adjusted EBITDA outlook to the most comparable GAAP measure of net income (loss) from continuing operations. Providing net income (loss) from continuing operations guidance is potentially misleading and not practical given the difficulty of projecting event driven transactional and other non-core operating items that are included in net income (loss) from continuing operations,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2026 sales outlook is $7,750 to $7,850, reflecting relatively stable global market demand, $200 of net new business backlog, dissipation of the tariff recovery lag experienced in 2025 and currency tailwinds. Based on our current sales and exchange rate outlook for 2026, we expect international currencies to be a modest tailwind to sales primarily due to a stronger euro. At sales levels in our current outlook for 2026, a 5% movement on the euro would impact our annual sales by approximately $15 and a 5% change on the Brazilian real would impact our annual sales by approximately $5. At our current sales outlook for 2026, we expect full year 2026 adjusted EBITDA to approximate $800 to $850. Adjusted EBITDA margin is expected to be 10.6% at the midpoint of our guidance range, a 250 basis-point improvement over 2025, reflecting the impact of significant cost savings actions, improved operational performance and favorable product mix, partially offset by the impact of net material cost recoveries and net inflationary cost recoveries. We expect to generate adjusted free cash flow of $325 at the midpoint of our guidance range reflecting the benefit of higher year-over-year adjusted EBITDA and lower income tax and interest payments, partially offset by higher capital spending.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Among our operational and strategic initiatives is continued focus on and investment in product technology – delivering products and technology that are key to bringing solutions to issues of paramount importance to our customers. Our success on this front is measured, in part, by our sales backlog – net new business awarded that will be launching over the next three years, adding to our base annual sales. This backlog excludes replacement business and represents incremental sales associated with new programs for which we have received formal customer awards. At September 30, 2026, our sales backlog of net new business for the 2026 through 2028 period was $950. We expect to realize $200 of our sales backlog in 2026, with incremental sales backlog of $300 and $450 being realized in 2027 and 2028, respectively.</w:t>
      </w:r>
    </w:p>
    <w:p>
      <w:pPr>
        <w:pStyle w:val="TextBody"/>
        <w:bidi w:val="0"/>
        <w:spacing w:before="0" w:after="0"/>
        <w:ind w:left="0" w:right="0" w:firstLine="36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Consolidated Results of Operations (Third Quarter, 2026 versus 2025)</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4542"/>
        <w:gridCol w:w="60"/>
        <w:gridCol w:w="135"/>
        <w:gridCol w:w="526"/>
        <w:gridCol w:w="86"/>
        <w:gridCol w:w="64"/>
        <w:gridCol w:w="134"/>
        <w:gridCol w:w="861"/>
        <w:gridCol w:w="200"/>
        <w:gridCol w:w="64"/>
        <w:gridCol w:w="135"/>
        <w:gridCol w:w="526"/>
        <w:gridCol w:w="86"/>
        <w:gridCol w:w="64"/>
        <w:gridCol w:w="134"/>
        <w:gridCol w:w="861"/>
        <w:gridCol w:w="185"/>
        <w:gridCol w:w="60"/>
        <w:gridCol w:w="378"/>
        <w:gridCol w:w="1016"/>
        <w:gridCol w:w="88"/>
      </w:tblGrid>
      <w:tr>
        <w:tc>
          <w:tcPr>
            <w:tcW w:w="454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7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jc w:val="left"/>
            </w:pPr>
            <w:r>
              <w:t> </w:t>
            </w:r>
          </w:p>
        </w:tc>
        <w:tc>
          <w:tcPr>
            <w:tcW w:w="1016" w:type="dxa"/>
            <w:tcBorders/>
            <w:shd w:fill="FFFFFF" w:val="clear"/>
            <w:vAlign w:val="center"/>
          </w:tcPr>
          <w:p>
            <w:pPr>
              <w:pStyle w:val="TableContents"/>
              <w:bidi w:val="0"/>
              <w:spacing w:before="0" w:after="283"/>
              <w:jc w:val="center"/>
            </w:pPr>
            <w:r>
              <w:t> </w:t>
            </w:r>
          </w:p>
        </w:tc>
        <w:tc>
          <w:tcPr>
            <w:tcW w:w="88" w:type="dxa"/>
            <w:tcBorders/>
            <w:shd w:fill="FFFFFF" w:val="cle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2026</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jc w:val="left"/>
            </w:pPr>
            <w:r>
              <w:t> </w:t>
            </w:r>
          </w:p>
        </w:tc>
        <w:tc>
          <w:tcPr>
            <w:tcW w:w="1016" w:type="dxa"/>
            <w:tcBorders/>
            <w:shd w:fill="FFFFFF" w:val="clear"/>
            <w:vAlign w:val="center"/>
          </w:tcPr>
          <w:p>
            <w:pPr>
              <w:pStyle w:val="TableContents"/>
              <w:bidi w:val="0"/>
              <w:spacing w:before="0" w:after="283"/>
              <w:jc w:val="center"/>
            </w:pPr>
            <w:r>
              <w:t> </w:t>
            </w:r>
          </w:p>
        </w:tc>
        <w:tc>
          <w:tcPr>
            <w:tcW w:w="88" w:type="dxa"/>
            <w:tcBorders/>
            <w:shd w:fill="FFFFFF" w:val="cle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Dollars</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 of Net Sales</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6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Dollars</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Increase/ (Decrease)</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sales</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sz w:val="20"/>
              </w:rPr>
            </w:pPr>
            <w:r>
              <w:rPr>
                <w:sz w:val="20"/>
              </w:rPr>
              <w:t>$</w:t>
            </w:r>
          </w:p>
        </w:tc>
        <w:tc>
          <w:tcPr>
            <w:tcW w:w="526" w:type="dxa"/>
            <w:tcBorders/>
            <w:shd w:fill="CCEEFF" w:val="clear"/>
            <w:vAlign w:val="center"/>
          </w:tcPr>
          <w:p>
            <w:pPr>
              <w:pStyle w:val="TableContents"/>
              <w:bidi w:val="0"/>
              <w:spacing w:before="0" w:after="283"/>
              <w:ind w:left="0" w:right="0" w:hanging="0"/>
              <w:jc w:val="right"/>
              <w:rPr>
                <w:sz w:val="20"/>
              </w:rPr>
            </w:pPr>
            <w:r>
              <w:rPr>
                <w:sz w:val="20"/>
              </w:rPr>
              <w:t>2,038</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sz w:val="20"/>
              </w:rPr>
            </w:pPr>
            <w:r>
              <w:rPr>
                <w:sz w:val="20"/>
              </w:rPr>
              <w:t>$</w:t>
            </w:r>
          </w:p>
        </w:tc>
        <w:tc>
          <w:tcPr>
            <w:tcW w:w="526" w:type="dxa"/>
            <w:tcBorders/>
            <w:shd w:fill="CCEEFF" w:val="clear"/>
            <w:vAlign w:val="center"/>
          </w:tcPr>
          <w:p>
            <w:pPr>
              <w:pStyle w:val="TableContents"/>
              <w:bidi w:val="0"/>
              <w:spacing w:before="0" w:after="283"/>
              <w:ind w:left="0" w:right="0" w:hanging="0"/>
              <w:jc w:val="right"/>
              <w:rPr>
                <w:sz w:val="20"/>
              </w:rPr>
            </w:pPr>
            <w:r>
              <w:rPr>
                <w:sz w:val="20"/>
              </w:rPr>
              <w:t>1,917</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8" w:type="dxa"/>
            <w:tcBorders/>
            <w:shd w:fill="CCEEFF" w:val="clear"/>
            <w:vAlign w:val="center"/>
          </w:tcPr>
          <w:p>
            <w:pPr>
              <w:pStyle w:val="TableContents"/>
              <w:bidi w:val="0"/>
              <w:spacing w:before="0" w:after="283"/>
              <w:ind w:left="0" w:right="0" w:hanging="0"/>
              <w:jc w:val="left"/>
              <w:rPr>
                <w:sz w:val="20"/>
              </w:rPr>
            </w:pPr>
            <w:r>
              <w:rPr>
                <w:sz w:val="20"/>
              </w:rPr>
              <w:t>$</w:t>
            </w:r>
          </w:p>
        </w:tc>
        <w:tc>
          <w:tcPr>
            <w:tcW w:w="1016" w:type="dxa"/>
            <w:tcBorders/>
            <w:shd w:fill="CCEEFF" w:val="clear"/>
            <w:vAlign w:val="center"/>
          </w:tcPr>
          <w:p>
            <w:pPr>
              <w:pStyle w:val="TableContents"/>
              <w:bidi w:val="0"/>
              <w:spacing w:before="0" w:after="283"/>
              <w:ind w:left="0" w:right="0" w:hanging="0"/>
              <w:jc w:val="right"/>
              <w:rPr>
                <w:sz w:val="20"/>
              </w:rPr>
            </w:pPr>
            <w:r>
              <w:rPr>
                <w:sz w:val="20"/>
              </w:rPr>
              <w:t>121</w:t>
            </w:r>
          </w:p>
        </w:tc>
        <w:tc>
          <w:tcPr>
            <w:tcW w:w="88" w:type="dxa"/>
            <w:tcBorders/>
            <w:shd w:fill="CCEEFF" w:val="cle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Cost of sales</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1,837</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90.1</w:t>
            </w:r>
          </w:p>
        </w:tc>
        <w:tc>
          <w:tcPr>
            <w:tcW w:w="200"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1,751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91.3</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86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margin</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201</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9.9</w:t>
            </w:r>
          </w:p>
        </w:tc>
        <w:tc>
          <w:tcPr>
            <w:tcW w:w="200"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166</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861" w:type="dxa"/>
            <w:tcBorders/>
            <w:shd w:fill="CCEEFF" w:val="clear"/>
            <w:vAlign w:val="center"/>
          </w:tcPr>
          <w:p>
            <w:pPr>
              <w:pStyle w:val="TableContents"/>
              <w:bidi w:val="0"/>
              <w:spacing w:before="0" w:after="283"/>
              <w:ind w:left="0" w:right="0" w:hanging="0"/>
              <w:jc w:val="right"/>
              <w:rPr>
                <w:sz w:val="20"/>
              </w:rPr>
            </w:pPr>
            <w:r>
              <w:rPr>
                <w:sz w:val="20"/>
              </w:rPr>
              <w:t>8.7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ind w:left="0" w:right="0" w:hanging="0"/>
              <w:jc w:val="left"/>
            </w:pPr>
            <w:r>
              <w:t> </w:t>
            </w:r>
          </w:p>
        </w:tc>
        <w:tc>
          <w:tcPr>
            <w:tcW w:w="1016" w:type="dxa"/>
            <w:tcBorders/>
            <w:shd w:fill="CCEEFF" w:val="clear"/>
            <w:vAlign w:val="center"/>
          </w:tcPr>
          <w:p>
            <w:pPr>
              <w:pStyle w:val="TableContents"/>
              <w:bidi w:val="0"/>
              <w:spacing w:before="0" w:after="283"/>
              <w:ind w:left="0" w:right="0" w:hanging="0"/>
              <w:jc w:val="right"/>
              <w:rPr>
                <w:sz w:val="20"/>
              </w:rPr>
            </w:pPr>
            <w:r>
              <w:rPr>
                <w:sz w:val="20"/>
              </w:rPr>
              <w:t>35</w:t>
            </w:r>
          </w:p>
        </w:tc>
        <w:tc>
          <w:tcPr>
            <w:tcW w:w="88" w:type="dxa"/>
            <w:tcBorders/>
            <w:shd w:fill="CCEEFF" w:val="cle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Selling, general and administrative expenses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97</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4.8</w:t>
            </w:r>
          </w:p>
        </w:tc>
        <w:tc>
          <w:tcPr>
            <w:tcW w:w="200" w:type="dxa"/>
            <w:tcBorders/>
            <w:shd w:fill="FFFFFF" w:val="clear"/>
            <w:vAlign w:val="center"/>
          </w:tcPr>
          <w:p>
            <w:pPr>
              <w:pStyle w:val="TableContents"/>
              <w:bidi w:val="0"/>
              <w:spacing w:before="0" w:after="283"/>
              <w:jc w:val="left"/>
              <w:rPr>
                <w:sz w:val="20"/>
              </w:rPr>
            </w:pPr>
            <w:r>
              <w:rPr>
                <w:sz w:val="20"/>
              </w:rPr>
              <w:t>%</w:t>
            </w:r>
          </w:p>
        </w:tc>
        <w:tc>
          <w:tcPr>
            <w:tcW w:w="64"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87</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861" w:type="dxa"/>
            <w:tcBorders/>
            <w:shd w:fill="FFFFFF" w:val="clear"/>
            <w:vAlign w:val="center"/>
          </w:tcPr>
          <w:p>
            <w:pPr>
              <w:pStyle w:val="TableContents"/>
              <w:bidi w:val="0"/>
              <w:spacing w:before="0" w:after="283"/>
              <w:ind w:left="0" w:right="0" w:hanging="0"/>
              <w:jc w:val="right"/>
              <w:rPr>
                <w:sz w:val="20"/>
              </w:rPr>
            </w:pPr>
            <w:r>
              <w:rPr>
                <w:sz w:val="20"/>
              </w:rPr>
              <w:t>4.5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ind w:left="0" w:right="0" w:hanging="0"/>
              <w:jc w:val="left"/>
            </w:pPr>
            <w:r>
              <w:t> </w:t>
            </w:r>
          </w:p>
        </w:tc>
        <w:tc>
          <w:tcPr>
            <w:tcW w:w="1016" w:type="dxa"/>
            <w:tcBorders/>
            <w:shd w:fill="FFFFFF" w:val="clear"/>
            <w:vAlign w:val="center"/>
          </w:tcPr>
          <w:p>
            <w:pPr>
              <w:pStyle w:val="TableContents"/>
              <w:bidi w:val="0"/>
              <w:spacing w:before="0" w:after="283"/>
              <w:ind w:left="0" w:right="0" w:hanging="0"/>
              <w:jc w:val="right"/>
              <w:rPr>
                <w:sz w:val="20"/>
              </w:rPr>
            </w:pPr>
            <w:r>
              <w:rPr>
                <w:sz w:val="20"/>
              </w:rPr>
              <w:t>10</w:t>
            </w:r>
          </w:p>
        </w:tc>
        <w:tc>
          <w:tcPr>
            <w:tcW w:w="88" w:type="dxa"/>
            <w:tcBorders/>
            <w:shd w:fill="FFFFFF" w:val="cle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Amortization of intangibles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1</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2</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ind w:left="0" w:right="0" w:hanging="0"/>
              <w:jc w:val="left"/>
            </w:pPr>
            <w:r>
              <w:t> </w:t>
            </w:r>
          </w:p>
        </w:tc>
        <w:tc>
          <w:tcPr>
            <w:tcW w:w="1016" w:type="dxa"/>
            <w:tcBorders/>
            <w:shd w:fill="CCEEFF" w:val="clear"/>
            <w:vAlign w:val="center"/>
          </w:tcPr>
          <w:p>
            <w:pPr>
              <w:pStyle w:val="TableContents"/>
              <w:bidi w:val="0"/>
              <w:spacing w:before="0" w:after="283"/>
              <w:ind w:left="0" w:right="0" w:hanging="0"/>
              <w:jc w:val="right"/>
              <w:rPr>
                <w:sz w:val="20"/>
              </w:rPr>
            </w:pPr>
            <w:r>
              <w:rPr>
                <w:sz w:val="20"/>
              </w:rPr>
              <w:t>(1</w:t>
            </w:r>
          </w:p>
        </w:tc>
        <w:tc>
          <w:tcPr>
            <w:tcW w:w="88" w:type="dxa"/>
            <w:tcBorders/>
            <w:shd w:fill="CCEEFF" w:val="clear"/>
            <w:vAlign w:val="center"/>
          </w:tcPr>
          <w:p>
            <w:pPr>
              <w:pStyle w:val="TableContents"/>
              <w:bidi w:val="0"/>
              <w:spacing w:before="0" w:after="283"/>
              <w:jc w:val="left"/>
              <w:rPr>
                <w:sz w:val="20"/>
              </w:rPr>
            </w:pPr>
            <w:r>
              <w:rPr>
                <w:sz w:val="20"/>
              </w:rPr>
              <w:t>)</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Restructuring charges, net</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5</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4</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ind w:left="0" w:right="0" w:hanging="0"/>
              <w:jc w:val="left"/>
            </w:pPr>
            <w:r>
              <w:t> </w:t>
            </w:r>
          </w:p>
        </w:tc>
        <w:tc>
          <w:tcPr>
            <w:tcW w:w="1016" w:type="dxa"/>
            <w:tcBorders/>
            <w:shd w:fill="FFFFFF" w:val="clear"/>
            <w:vAlign w:val="center"/>
          </w:tcPr>
          <w:p>
            <w:pPr>
              <w:pStyle w:val="TableContents"/>
              <w:bidi w:val="0"/>
              <w:spacing w:before="0" w:after="283"/>
              <w:ind w:left="0" w:right="0" w:hanging="0"/>
              <w:jc w:val="right"/>
              <w:rPr>
                <w:sz w:val="20"/>
              </w:rPr>
            </w:pPr>
            <w:r>
              <w:rPr>
                <w:sz w:val="20"/>
              </w:rPr>
              <w:t>1</w:t>
            </w:r>
          </w:p>
        </w:tc>
        <w:tc>
          <w:tcPr>
            <w:tcW w:w="88" w:type="dxa"/>
            <w:tcBorders/>
            <w:shd w:fill="FFFFFF" w:val="cle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income (expense), net</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0"/>
              <w:ind w:left="180" w:right="0" w:hanging="180"/>
              <w:jc w:val="left"/>
              <w:rPr>
                <w:rFonts w:ascii="Times New Roman;Times;serif" w:hAnsi="Times New Roman;Times;serif"/>
                <w:b w:val="false"/>
                <w:sz w:val="20"/>
              </w:rPr>
            </w:pPr>
            <w:r>
              <w:rPr>
                <w:rFonts w:ascii="Times New Roman;Times;serif" w:hAnsi="Times New Roman;Times;serif"/>
                <w:b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92</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53</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ind w:left="0" w:right="0" w:hanging="0"/>
              <w:jc w:val="left"/>
            </w:pPr>
            <w:r>
              <w:t> </w:t>
            </w:r>
          </w:p>
        </w:tc>
        <w:tc>
          <w:tcPr>
            <w:tcW w:w="1016" w:type="dxa"/>
            <w:tcBorders/>
            <w:shd w:fill="FFFFFF" w:val="clear"/>
            <w:vAlign w:val="center"/>
          </w:tcPr>
          <w:p>
            <w:pPr>
              <w:pStyle w:val="TableContents"/>
              <w:bidi w:val="0"/>
              <w:spacing w:before="0" w:after="283"/>
              <w:ind w:left="0" w:right="0" w:hanging="0"/>
              <w:jc w:val="right"/>
              <w:rPr>
                <w:sz w:val="20"/>
              </w:rPr>
            </w:pPr>
            <w:r>
              <w:rPr>
                <w:sz w:val="20"/>
              </w:rPr>
              <w:t>39</w:t>
            </w:r>
          </w:p>
        </w:tc>
        <w:tc>
          <w:tcPr>
            <w:tcW w:w="88" w:type="dxa"/>
            <w:tcBorders/>
            <w:shd w:fill="FFFFFF" w:val="cle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Loss on extinguishment of debt</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526" w:type="dxa"/>
            <w:tcBorders/>
            <w:shd w:fill="CCEEFF" w:val="clear"/>
            <w:vAlign w:val="center"/>
          </w:tcPr>
          <w:p>
            <w:pPr>
              <w:pStyle w:val="TableContents"/>
              <w:bidi w:val="0"/>
              <w:spacing w:before="0" w:after="283"/>
              <w:jc w:val="right"/>
              <w:rPr>
                <w:sz w:val="20"/>
              </w:rPr>
            </w:pPr>
            <w:r>
              <w:rPr>
                <w:sz w:val="20"/>
              </w:rPr>
              <w:t>(24</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526" w:type="dxa"/>
            <w:tcBorders/>
            <w:shd w:fill="CCEEFF" w:val="clear"/>
            <w:vAlign w:val="center"/>
          </w:tcPr>
          <w:p>
            <w:pPr>
              <w:pStyle w:val="TableContents"/>
              <w:bidi w:val="0"/>
              <w:spacing w:before="0" w:after="283"/>
              <w:jc w:val="right"/>
            </w:pPr>
            <w:r>
              <w:t> </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jc w:val="left"/>
            </w:pPr>
            <w:r>
              <w:t> </w:t>
            </w:r>
          </w:p>
        </w:tc>
        <w:tc>
          <w:tcPr>
            <w:tcW w:w="1016" w:type="dxa"/>
            <w:tcBorders/>
            <w:shd w:fill="CCEEFF" w:val="clear"/>
            <w:vAlign w:val="center"/>
          </w:tcPr>
          <w:p>
            <w:pPr>
              <w:pStyle w:val="TableContents"/>
              <w:bidi w:val="0"/>
              <w:spacing w:before="0" w:after="283"/>
              <w:jc w:val="right"/>
              <w:rPr>
                <w:sz w:val="20"/>
              </w:rPr>
            </w:pPr>
            <w:r>
              <w:rPr>
                <w:sz w:val="20"/>
              </w:rPr>
              <w:t>(24</w:t>
            </w:r>
          </w:p>
        </w:tc>
        <w:tc>
          <w:tcPr>
            <w:tcW w:w="88" w:type="dxa"/>
            <w:tcBorders/>
            <w:shd w:fill="CCEEFF" w:val="clear"/>
            <w:vAlign w:val="center"/>
          </w:tcPr>
          <w:p>
            <w:pPr>
              <w:pStyle w:val="TableContents"/>
              <w:bidi w:val="0"/>
              <w:spacing w:before="0" w:after="283"/>
              <w:jc w:val="left"/>
              <w:rPr>
                <w:sz w:val="20"/>
              </w:rPr>
            </w:pPr>
            <w:r>
              <w:rPr>
                <w:sz w:val="20"/>
              </w:rPr>
              <w:t>)</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income</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4</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3</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ind w:left="0" w:right="0" w:hanging="0"/>
              <w:jc w:val="left"/>
            </w:pPr>
            <w:r>
              <w:t> </w:t>
            </w:r>
          </w:p>
        </w:tc>
        <w:tc>
          <w:tcPr>
            <w:tcW w:w="1016" w:type="dxa"/>
            <w:tcBorders/>
            <w:shd w:fill="FFFFFF" w:val="clear"/>
            <w:vAlign w:val="center"/>
          </w:tcPr>
          <w:p>
            <w:pPr>
              <w:pStyle w:val="TableContents"/>
              <w:bidi w:val="0"/>
              <w:spacing w:before="0" w:after="283"/>
              <w:ind w:left="0" w:right="0" w:hanging="0"/>
              <w:jc w:val="right"/>
              <w:rPr>
                <w:sz w:val="20"/>
              </w:rPr>
            </w:pPr>
            <w:r>
              <w:rPr>
                <w:sz w:val="20"/>
              </w:rPr>
              <w:t>1</w:t>
            </w:r>
          </w:p>
        </w:tc>
        <w:tc>
          <w:tcPr>
            <w:tcW w:w="88" w:type="dxa"/>
            <w:tcBorders/>
            <w:shd w:fill="FFFFFF" w:val="cle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expense</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20</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(27</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r>
      <w:tr>
        <w:tc>
          <w:tcPr>
            <w:tcW w:w="4542" w:type="dxa"/>
            <w:tcBorders/>
            <w:shd w:fill="FFFFFF" w:val="clear"/>
            <w:vAlign w:val="center"/>
          </w:tcPr>
          <w:p>
            <w:pPr>
              <w:pStyle w:val="TableContents"/>
              <w:bidi w:val="0"/>
              <w:spacing w:before="0" w:after="0"/>
              <w:ind w:left="180" w:right="0" w:hanging="180"/>
              <w:jc w:val="left"/>
              <w:rPr>
                <w:rFonts w:ascii="Times New Roman;Times;serif" w:hAnsi="Times New Roman;Times;serif"/>
                <w:b w:val="false"/>
                <w:sz w:val="20"/>
              </w:rPr>
            </w:pPr>
            <w:r>
              <w:rPr>
                <w:rFonts w:ascii="Times New Roman;Times;serif" w:hAnsi="Times New Roman;Times;serif"/>
                <w:b w:val="false"/>
                <w:sz w:val="20"/>
              </w:rPr>
              <w:t>Earnings from continuing operations before income taxes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52</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526" w:type="dxa"/>
            <w:tcBorders/>
            <w:shd w:fill="FFFFFF" w:val="clear"/>
            <w:vAlign w:val="center"/>
          </w:tcPr>
          <w:p>
            <w:pPr>
              <w:pStyle w:val="TableContents"/>
              <w:bidi w:val="0"/>
              <w:spacing w:before="0" w:after="283"/>
              <w:ind w:left="0" w:right="0" w:hanging="0"/>
              <w:jc w:val="right"/>
              <w:rPr>
                <w:sz w:val="20"/>
              </w:rPr>
            </w:pPr>
            <w:r>
              <w:rPr>
                <w:sz w:val="20"/>
              </w:rPr>
              <w:t>9</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shd w:fill="FFFFFF" w:val="clear"/>
            <w:vAlign w:val="center"/>
          </w:tcPr>
          <w:p>
            <w:pPr>
              <w:pStyle w:val="TableContents"/>
              <w:bidi w:val="0"/>
              <w:spacing w:before="0" w:after="283"/>
              <w:ind w:left="0" w:right="0" w:hanging="0"/>
              <w:jc w:val="left"/>
            </w:pPr>
            <w:r>
              <w:t> </w:t>
            </w:r>
          </w:p>
        </w:tc>
        <w:tc>
          <w:tcPr>
            <w:tcW w:w="1016" w:type="dxa"/>
            <w:tcBorders/>
            <w:shd w:fill="FFFFFF" w:val="clear"/>
            <w:vAlign w:val="center"/>
          </w:tcPr>
          <w:p>
            <w:pPr>
              <w:pStyle w:val="TableContents"/>
              <w:bidi w:val="0"/>
              <w:spacing w:before="0" w:after="283"/>
              <w:ind w:left="0" w:right="0" w:hanging="0"/>
              <w:jc w:val="right"/>
              <w:rPr>
                <w:sz w:val="20"/>
              </w:rPr>
            </w:pPr>
            <w:r>
              <w:rPr>
                <w:sz w:val="20"/>
              </w:rPr>
              <w:t>43</w:t>
            </w:r>
          </w:p>
        </w:tc>
        <w:tc>
          <w:tcPr>
            <w:tcW w:w="88" w:type="dxa"/>
            <w:tcBorders/>
            <w:shd w:fill="FFFFFF" w:val="cle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tax expense (benefit)</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64</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(2</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ind w:left="0" w:right="0" w:hanging="0"/>
              <w:jc w:val="left"/>
            </w:pPr>
            <w:r>
              <w:t> </w:t>
            </w:r>
          </w:p>
        </w:tc>
        <w:tc>
          <w:tcPr>
            <w:tcW w:w="1016" w:type="dxa"/>
            <w:tcBorders/>
            <w:shd w:fill="CCEEFF" w:val="clear"/>
            <w:vAlign w:val="center"/>
          </w:tcPr>
          <w:p>
            <w:pPr>
              <w:pStyle w:val="TableContents"/>
              <w:bidi w:val="0"/>
              <w:spacing w:before="0" w:after="283"/>
              <w:ind w:left="0" w:right="0" w:hanging="0"/>
              <w:jc w:val="right"/>
              <w:rPr>
                <w:sz w:val="20"/>
              </w:rPr>
            </w:pPr>
            <w:r>
              <w:rPr>
                <w:sz w:val="20"/>
              </w:rPr>
              <w:t>66</w:t>
            </w:r>
          </w:p>
        </w:tc>
        <w:tc>
          <w:tcPr>
            <w:tcW w:w="88" w:type="dxa"/>
            <w:tcBorders/>
            <w:shd w:fill="CCEEFF" w:val="clear"/>
            <w:vAlign w:val="center"/>
          </w:tcPr>
          <w:p>
            <w:pPr>
              <w:pStyle w:val="TableContents"/>
              <w:bidi w:val="0"/>
              <w:spacing w:before="0" w:after="283"/>
              <w:jc w:val="left"/>
            </w:pPr>
            <w:r>
              <w:t> </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Equity in earnings of affiliates</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(loss) from continuing operations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(10</w:t>
            </w:r>
          </w:p>
        </w:tc>
        <w:tc>
          <w:tcPr>
            <w:tcW w:w="86" w:type="dxa"/>
            <w:tcBorders/>
            <w:shd w:fill="CCEEFF" w:val="clear"/>
            <w:vAlign w:val="center"/>
          </w:tcPr>
          <w:p>
            <w:pPr>
              <w:pStyle w:val="TableContents"/>
              <w:bidi w:val="0"/>
              <w:spacing w:before="0" w:after="283"/>
              <w:jc w:val="left"/>
              <w:rPr>
                <w:sz w:val="20"/>
              </w:rPr>
            </w:pPr>
            <w:r>
              <w:rPr>
                <w:sz w:val="20"/>
              </w:rPr>
              <w:t>)</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526" w:type="dxa"/>
            <w:tcBorders/>
            <w:shd w:fill="CCEEFF" w:val="clear"/>
            <w:vAlign w:val="center"/>
          </w:tcPr>
          <w:p>
            <w:pPr>
              <w:pStyle w:val="TableContents"/>
              <w:bidi w:val="0"/>
              <w:spacing w:before="0" w:after="283"/>
              <w:ind w:left="0" w:right="0" w:hanging="0"/>
              <w:jc w:val="right"/>
              <w:rPr>
                <w:sz w:val="20"/>
              </w:rPr>
            </w:pPr>
            <w:r>
              <w:rPr>
                <w:sz w:val="20"/>
              </w:rPr>
              <w:t>13</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ind w:left="0" w:right="0" w:hanging="0"/>
              <w:jc w:val="left"/>
            </w:pPr>
            <w:r>
              <w:t> </w:t>
            </w:r>
          </w:p>
        </w:tc>
        <w:tc>
          <w:tcPr>
            <w:tcW w:w="1016" w:type="dxa"/>
            <w:tcBorders/>
            <w:shd w:fill="CCEEFF" w:val="clear"/>
            <w:vAlign w:val="center"/>
          </w:tcPr>
          <w:p>
            <w:pPr>
              <w:pStyle w:val="TableContents"/>
              <w:bidi w:val="0"/>
              <w:spacing w:before="0" w:after="283"/>
              <w:ind w:left="0" w:right="0" w:hanging="0"/>
              <w:jc w:val="right"/>
              <w:rPr>
                <w:sz w:val="20"/>
              </w:rPr>
            </w:pPr>
            <w:r>
              <w:rPr>
                <w:sz w:val="20"/>
              </w:rPr>
              <w:t>(23</w:t>
            </w:r>
          </w:p>
        </w:tc>
        <w:tc>
          <w:tcPr>
            <w:tcW w:w="88" w:type="dxa"/>
            <w:tcBorders/>
            <w:shd w:fill="CCEEFF" w:val="clear"/>
            <w:vAlign w:val="center"/>
          </w:tcPr>
          <w:p>
            <w:pPr>
              <w:pStyle w:val="TableContents"/>
              <w:bidi w:val="0"/>
              <w:spacing w:before="0" w:after="283"/>
              <w:jc w:val="left"/>
              <w:rPr>
                <w:sz w:val="20"/>
              </w:rPr>
            </w:pPr>
            <w:r>
              <w:rPr>
                <w:sz w:val="20"/>
              </w:rPr>
              <w:t>)</w:t>
            </w:r>
          </w:p>
        </w:tc>
      </w:tr>
      <w:tr>
        <w:tc>
          <w:tcPr>
            <w:tcW w:w="454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discontinued operations</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29</w:t>
            </w:r>
          </w:p>
        </w:tc>
        <w:tc>
          <w:tcPr>
            <w:tcW w:w="86"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74</w:t>
            </w:r>
          </w:p>
        </w:tc>
        <w:tc>
          <w:tcPr>
            <w:tcW w:w="86"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0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(45</w:t>
            </w:r>
          </w:p>
        </w:tc>
        <w:tc>
          <w:tcPr>
            <w:tcW w:w="88" w:type="dxa"/>
            <w:tcBorders>
              <w:bottom w:val="single" w:sz="2" w:space="0" w:color="000000"/>
            </w:tcBorders>
            <w:shd w:fill="FFFFFF" w:val="clear"/>
            <w:tcMar>
              <w:bottom w:w="28" w:type="dxa"/>
            </w:tcMar>
            <w:vAlign w:val="center"/>
          </w:tcPr>
          <w:p>
            <w:pPr>
              <w:pStyle w:val="TableContents"/>
              <w:bidi w:val="0"/>
              <w:spacing w:before="0" w:after="0"/>
              <w:jc w:val="left"/>
              <w:rPr>
                <w:sz w:val="20"/>
              </w:rPr>
            </w:pPr>
            <w:r>
              <w:rPr>
                <w:sz w:val="20"/>
              </w:rPr>
              <w:t>)</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526" w:type="dxa"/>
            <w:tcBorders/>
            <w:shd w:fill="CCEEFF" w:val="clear"/>
            <w:vAlign w:val="center"/>
          </w:tcPr>
          <w:p>
            <w:pPr>
              <w:pStyle w:val="TableContents"/>
              <w:bidi w:val="0"/>
              <w:spacing w:before="0" w:after="283"/>
              <w:jc w:val="right"/>
              <w:rPr>
                <w:sz w:val="20"/>
              </w:rPr>
            </w:pPr>
            <w:r>
              <w:rPr>
                <w:sz w:val="20"/>
              </w:rPr>
              <w:t>19</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526" w:type="dxa"/>
            <w:tcBorders/>
            <w:shd w:fill="CCEEFF" w:val="clear"/>
            <w:vAlign w:val="center"/>
          </w:tcPr>
          <w:p>
            <w:pPr>
              <w:pStyle w:val="TableContents"/>
              <w:bidi w:val="0"/>
              <w:spacing w:before="0" w:after="283"/>
              <w:jc w:val="right"/>
              <w:rPr>
                <w:sz w:val="20"/>
              </w:rPr>
            </w:pPr>
            <w:r>
              <w:rPr>
                <w:sz w:val="20"/>
              </w:rPr>
              <w:t>87</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8" w:type="dxa"/>
            <w:tcBorders/>
            <w:shd w:fill="CCEEFF" w:val="clear"/>
            <w:vAlign w:val="center"/>
          </w:tcPr>
          <w:p>
            <w:pPr>
              <w:pStyle w:val="TableContents"/>
              <w:bidi w:val="0"/>
              <w:spacing w:before="0" w:after="283"/>
              <w:jc w:val="left"/>
            </w:pPr>
            <w:r>
              <w:t> </w:t>
            </w:r>
          </w:p>
        </w:tc>
        <w:tc>
          <w:tcPr>
            <w:tcW w:w="1016" w:type="dxa"/>
            <w:tcBorders/>
            <w:shd w:fill="CCEEFF" w:val="clear"/>
            <w:vAlign w:val="center"/>
          </w:tcPr>
          <w:p>
            <w:pPr>
              <w:pStyle w:val="TableContents"/>
              <w:bidi w:val="0"/>
              <w:spacing w:before="0" w:after="283"/>
              <w:jc w:val="right"/>
              <w:rPr>
                <w:sz w:val="20"/>
              </w:rPr>
            </w:pPr>
            <w:r>
              <w:rPr>
                <w:sz w:val="20"/>
              </w:rPr>
              <w:t>(68</w:t>
            </w:r>
          </w:p>
        </w:tc>
        <w:tc>
          <w:tcPr>
            <w:tcW w:w="88" w:type="dxa"/>
            <w:tcBorders/>
            <w:shd w:fill="CCEEFF" w:val="clear"/>
            <w:vAlign w:val="center"/>
          </w:tcPr>
          <w:p>
            <w:pPr>
              <w:pStyle w:val="TableContents"/>
              <w:bidi w:val="0"/>
              <w:spacing w:before="0" w:after="283"/>
              <w:jc w:val="left"/>
              <w:rPr>
                <w:sz w:val="20"/>
              </w:rPr>
            </w:pPr>
            <w:r>
              <w:rPr>
                <w:sz w:val="20"/>
              </w:rPr>
              <w:t>)</w:t>
            </w:r>
          </w:p>
        </w:tc>
      </w:tr>
      <w:tr>
        <w:tc>
          <w:tcPr>
            <w:tcW w:w="4542" w:type="dxa"/>
            <w:tcBorders/>
            <w:shd w:fill="FFFFFF" w:val="clear"/>
            <w:vAlign w:val="center"/>
          </w:tcPr>
          <w:p>
            <w:pPr>
              <w:pStyle w:val="TableContents"/>
              <w:bidi w:val="0"/>
              <w:spacing w:before="0" w:after="0"/>
              <w:ind w:left="360" w:right="0" w:hanging="180"/>
              <w:jc w:val="left"/>
              <w:rPr>
                <w:rFonts w:ascii="Times New Roman;Times;serif" w:hAnsi="Times New Roman;Times;serif"/>
                <w:b w:val="false"/>
                <w:sz w:val="20"/>
              </w:rPr>
            </w:pPr>
            <w:r>
              <w:rPr>
                <w:rFonts w:ascii="Times New Roman;Times;serif" w:hAnsi="Times New Roman;Times;serif"/>
                <w:b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200"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86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200"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83</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86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(68</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Sales</w:t>
      </w:r>
      <w:r>
        <w:rPr>
          <w:rFonts w:ascii="Times New Roman;Times;serif" w:hAnsi="Times New Roman;Times;serif"/>
          <w:sz w:val="20"/>
        </w:rPr>
        <w:t xml:space="preserve"> — The following table shows changes in our sales by geographic region.</w:t>
      </w:r>
    </w:p>
    <w:p>
      <w:pPr>
        <w:pStyle w:val="TextBody"/>
        <w:bidi w:val="0"/>
        <w:spacing w:before="0" w:after="0"/>
        <w:ind w:left="0" w:right="0" w:hanging="0"/>
        <w:jc w:val="left"/>
      </w:pPr>
      <w:r>
        <w:t> </w:t>
      </w:r>
    </w:p>
    <w:tbl>
      <w:tblPr>
        <w:tblW w:w="8963" w:type="dxa"/>
        <w:jc w:val="left"/>
        <w:tblInd w:w="0" w:type="dxa"/>
        <w:tblLayout w:type="fixed"/>
        <w:tblCellMar>
          <w:top w:w="0" w:type="dxa"/>
          <w:left w:w="0" w:type="dxa"/>
          <w:bottom w:w="0" w:type="dxa"/>
          <w:right w:w="0" w:type="dxa"/>
        </w:tblCellMar>
      </w:tblPr>
      <w:tblGrid>
        <w:gridCol w:w="1220"/>
        <w:gridCol w:w="60"/>
        <w:gridCol w:w="161"/>
        <w:gridCol w:w="626"/>
        <w:gridCol w:w="77"/>
        <w:gridCol w:w="77"/>
        <w:gridCol w:w="161"/>
        <w:gridCol w:w="626"/>
        <w:gridCol w:w="60"/>
        <w:gridCol w:w="60"/>
        <w:gridCol w:w="441"/>
        <w:gridCol w:w="1183"/>
        <w:gridCol w:w="60"/>
        <w:gridCol w:w="60"/>
        <w:gridCol w:w="551"/>
        <w:gridCol w:w="818"/>
        <w:gridCol w:w="124"/>
        <w:gridCol w:w="93"/>
        <w:gridCol w:w="298"/>
        <w:gridCol w:w="622"/>
        <w:gridCol w:w="93"/>
        <w:gridCol w:w="93"/>
        <w:gridCol w:w="363"/>
        <w:gridCol w:w="976"/>
        <w:gridCol w:w="60"/>
      </w:tblGrid>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jc w:val="left"/>
            </w:pPr>
            <w:r>
              <w:t> </w:t>
            </w:r>
          </w:p>
        </w:tc>
        <w:tc>
          <w:tcPr>
            <w:tcW w:w="118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51" w:type="dxa"/>
            <w:tcBorders/>
            <w:shd w:fill="FFFFFF" w:val="clear"/>
            <w:vAlign w:val="center"/>
          </w:tcPr>
          <w:p>
            <w:pPr>
              <w:pStyle w:val="TableContents"/>
              <w:bidi w:val="0"/>
              <w:spacing w:before="0" w:after="283"/>
              <w:jc w:val="left"/>
            </w:pPr>
            <w:r>
              <w:t> </w:t>
            </w:r>
          </w:p>
        </w:tc>
        <w:tc>
          <w:tcPr>
            <w:tcW w:w="818" w:type="dxa"/>
            <w:tcBorders/>
            <w:shd w:fill="FFFFFF" w:val="clear"/>
            <w:vAlign w:val="center"/>
          </w:tcPr>
          <w:p>
            <w:pPr>
              <w:pStyle w:val="TableContents"/>
              <w:bidi w:val="0"/>
              <w:spacing w:before="0" w:after="283"/>
              <w:jc w:val="center"/>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298" w:type="dxa"/>
            <w:tcBorders/>
            <w:shd w:fill="FFFFFF" w:val="clear"/>
            <w:vAlign w:val="center"/>
          </w:tcPr>
          <w:p>
            <w:pPr>
              <w:pStyle w:val="TableContents"/>
              <w:bidi w:val="0"/>
              <w:spacing w:before="0" w:after="283"/>
              <w:jc w:val="left"/>
            </w:pPr>
            <w:r>
              <w:t> </w:t>
            </w:r>
          </w:p>
        </w:tc>
        <w:tc>
          <w:tcPr>
            <w:tcW w:w="622" w:type="dxa"/>
            <w:tcBorders/>
            <w:shd w:fill="FFFFFF" w:val="clear"/>
            <w:vAlign w:val="center"/>
          </w:tcPr>
          <w:p>
            <w:pPr>
              <w:pStyle w:val="TableContents"/>
              <w:bidi w:val="0"/>
              <w:spacing w:before="0" w:after="283"/>
              <w:jc w:val="center"/>
            </w:pPr>
            <w:r>
              <w:t> </w:t>
            </w:r>
          </w:p>
        </w:tc>
        <w:tc>
          <w:tcPr>
            <w:tcW w:w="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363" w:type="dxa"/>
            <w:tcBorders/>
            <w:shd w:fill="FFFFFF" w:val="clear"/>
            <w:vAlign w:val="center"/>
          </w:tcPr>
          <w:p>
            <w:pPr>
              <w:pStyle w:val="TableContents"/>
              <w:bidi w:val="0"/>
              <w:spacing w:before="0" w:after="283"/>
              <w:jc w:val="left"/>
            </w:pPr>
            <w:r>
              <w:t> </w:t>
            </w:r>
          </w:p>
        </w:tc>
        <w:tc>
          <w:tcPr>
            <w:tcW w:w="976"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jc w:val="left"/>
            </w:pPr>
            <w:r>
              <w:t> </w:t>
            </w:r>
          </w:p>
        </w:tc>
        <w:tc>
          <w:tcPr>
            <w:tcW w:w="118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03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Change Due To</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Divestiture</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Organic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7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2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pPr>
            <w:r>
              <w:t>—</w:t>
            </w:r>
          </w:p>
        </w:tc>
        <w:tc>
          <w:tcPr>
            <w:tcW w:w="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3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77"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ind w:left="0" w:right="0" w:hanging="0"/>
              <w:jc w:val="left"/>
            </w:pPr>
            <w: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51" w:type="dxa"/>
            <w:tcBorders/>
            <w:shd w:fill="FFFFFF" w:val="clear"/>
            <w:vAlign w:val="center"/>
          </w:tcPr>
          <w:p>
            <w:pPr>
              <w:pStyle w:val="TableContents"/>
              <w:bidi w:val="0"/>
              <w:spacing w:before="0" w:after="283"/>
              <w:ind w:left="0" w:right="0" w:hanging="0"/>
              <w:jc w:val="left"/>
            </w:pPr>
            <w: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298" w:type="dxa"/>
            <w:tcBorders/>
            <w:shd w:fill="FFFFFF" w:val="clear"/>
            <w:vAlign w:val="center"/>
          </w:tcPr>
          <w:p>
            <w:pPr>
              <w:pStyle w:val="TableContents"/>
              <w:bidi w:val="0"/>
              <w:spacing w:before="0" w:after="283"/>
              <w:jc w:val="left"/>
            </w:pPr>
            <w:r>
              <w:t> </w:t>
            </w:r>
          </w:p>
        </w:tc>
        <w:tc>
          <w:tcPr>
            <w:tcW w:w="622" w:type="dxa"/>
            <w:tcBorders/>
            <w:shd w:fill="FFFFFF" w:val="clear"/>
            <w:vAlign w:val="center"/>
          </w:tcPr>
          <w:p>
            <w:pPr>
              <w:pStyle w:val="TableContents"/>
              <w:bidi w:val="0"/>
              <w:spacing w:before="0" w:after="283"/>
              <w:jc w:val="right"/>
            </w:pPr>
            <w:r>
              <w:t> </w:t>
            </w:r>
          </w:p>
        </w:tc>
        <w:tc>
          <w:tcPr>
            <w:tcW w:w="93"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363" w:type="dxa"/>
            <w:tcBorders/>
            <w:shd w:fill="FFFFFF" w:val="clear"/>
            <w:vAlign w:val="center"/>
          </w:tcPr>
          <w:p>
            <w:pPr>
              <w:pStyle w:val="TableContents"/>
              <w:bidi w:val="0"/>
              <w:spacing w:before="0" w:after="283"/>
              <w:ind w:left="0" w:right="0" w:hanging="0"/>
              <w:jc w:val="left"/>
            </w:pPr>
            <w: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7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41" w:type="dxa"/>
            <w:tcBorders/>
            <w:shd w:fill="CCEEFF" w:val="clear"/>
            <w:vAlign w:val="center"/>
          </w:tcPr>
          <w:p>
            <w:pPr>
              <w:pStyle w:val="TableContents"/>
              <w:bidi w:val="0"/>
              <w:spacing w:before="0" w:after="283"/>
              <w:ind w:left="0" w:right="0" w:hanging="0"/>
              <w:jc w:val="left"/>
            </w:pPr>
            <w: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51" w:type="dxa"/>
            <w:tcBorders/>
            <w:shd w:fill="CCEEFF" w:val="clear"/>
            <w:vAlign w:val="center"/>
          </w:tcPr>
          <w:p>
            <w:pPr>
              <w:pStyle w:val="TableContents"/>
              <w:bidi w:val="0"/>
              <w:spacing w:before="0" w:after="283"/>
              <w:ind w:left="0" w:right="0" w:hanging="0"/>
              <w:jc w:val="left"/>
            </w:pPr>
            <w: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298" w:type="dxa"/>
            <w:tcBorders/>
            <w:shd w:fill="CCEEFF" w:val="clear"/>
            <w:vAlign w:val="center"/>
          </w:tcPr>
          <w:p>
            <w:pPr>
              <w:pStyle w:val="TableContents"/>
              <w:bidi w:val="0"/>
              <w:spacing w:before="0" w:after="283"/>
              <w:jc w:val="left"/>
            </w:pPr>
            <w:r>
              <w:t> </w:t>
            </w:r>
          </w:p>
        </w:tc>
        <w:tc>
          <w:tcPr>
            <w:tcW w:w="622" w:type="dxa"/>
            <w:tcBorders/>
            <w:shd w:fill="CCEEFF" w:val="clear"/>
            <w:vAlign w:val="center"/>
          </w:tcPr>
          <w:p>
            <w:pPr>
              <w:pStyle w:val="TableContents"/>
              <w:bidi w:val="0"/>
              <w:spacing w:before="0" w:after="283"/>
              <w:jc w:val="right"/>
            </w:pPr>
            <w:r>
              <w:t> </w:t>
            </w:r>
          </w:p>
        </w:tc>
        <w:tc>
          <w:tcPr>
            <w:tcW w:w="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363" w:type="dxa"/>
            <w:tcBorders/>
            <w:shd w:fill="CCEEFF" w:val="clear"/>
            <w:vAlign w:val="center"/>
          </w:tcPr>
          <w:p>
            <w:pPr>
              <w:pStyle w:val="TableContents"/>
              <w:bidi w:val="0"/>
              <w:spacing w:before="0" w:after="283"/>
              <w:ind w:left="0" w:right="0" w:hanging="0"/>
              <w:jc w:val="left"/>
            </w:pPr>
            <w: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77"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4"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pPr>
            <w:r>
              <w:t> </w:t>
            </w:r>
          </w:p>
        </w:tc>
        <w:tc>
          <w:tcPr>
            <w:tcW w:w="2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 </w:t>
            </w:r>
          </w:p>
        </w:tc>
        <w:tc>
          <w:tcPr>
            <w:tcW w:w="93"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in the third quarter of 2026 were $121 higher than 2025. Stronger international currencies increased sales by $5, principally due to a stronger Brazilian real and South African rand, partially offset by a weaker India rupee. The organic sales increase of $116 primarily resulted from pricing actions and recoveries, including material commodity, tariff and inflationary costs adjustments, higher full-frame light-truck and heavy-truck production volumes in North America and the conversion of sales backlog, partially offset by lower electric-vehicle product orders in Europe and Asia Pacific. Pricing actions and recoveries, including material commodity, tariff and inflationary costs adjustments, increased sales by $29.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North America organic sales increase of 5% was driven principally by net customer pricing, tariff and cost recovery actions, higher full-frame light-truck and heavy-truck production volumes and the conversion of sales backlog. Third quarter 2026 full-frame light-truck production was up 3%. Third quarter 2026 Class 8 production was up 32% while Classes 5-7 production was down 2%. Excluding currency effects, sales in Europe were up 8% compared to 2025, reflecting higher light-truck production volumes and net customer pricing and cost recovery actions. Excluding currency effects, sales in South America were up 7% compared to 2025, reflecting higher year-over-year medium/heavy-truck production volumes. Excluding currency effects, sales in Asia Pacific increased 11% reflecting a modest improvement in year-over-year third quarter light-truck and medium/heavy-truck production volumes, partially offset by lower electric vehicle-related product orders.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Cost of sales and gross margin</w:t>
      </w:r>
      <w:r>
        <w:rPr>
          <w:rFonts w:ascii="Times New Roman;Times;serif" w:hAnsi="Times New Roman;Times;serif"/>
          <w:sz w:val="20"/>
        </w:rPr>
        <w:t xml:space="preserve"> — Cost of sales for the third quarter of 2026 increased $86 when compared to 2025. Cost of sales as a percent of sales was 120 basis points lower than in the previous year. Incremental margins from operational efficiencies, including cost recoveries associated with a terminated customer program, of $62, higher material cost savings of $22, cost reduction initiatives of $6, lower premium freight costs of $4, lower product launch costs of $1 and favorable product mix were partially offset by non-material inflation of $31, commodity cost increases of $17, a union ratification bonus charge of $17 in 2026, tariff-related impacts of $15, higher warranty expense of $10 and higher incentive compensation expense $3. Commodity costs are primarily driven by certain grades of steel and aluminum. Non-material inflation includes higher labor, energy and transportation rates.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 of $201 for the third quarter of 2026 increased $35 from 2025. Gross margin as a percent of sales was 9.9% in the third quarter of 2026, 120 basis points higher than in 2025. The improvement in gross margin as a percent of sales was driven principally by the cost of sales factors referenced above. Material cost recovery mechanisms with our customers lag material cost changes by our suppliers by approximately 90 days. The recovery of non-material inflation is not specifically provided for in our current contracts with customers resulting in prolonged negotiations and indeterminate recoveries.</w:t>
      </w:r>
    </w:p>
    <w:p>
      <w:pPr>
        <w:pStyle w:val="TextBody"/>
        <w:bidi w:val="0"/>
        <w:spacing w:before="0" w:after="0"/>
        <w:ind w:left="0" w:right="0" w:firstLine="36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 — SG&amp;A expenses in the third quarter of 2026 were $97 (4.8% of sales) as compared to $87 (4.5% of sales) in the third quarter of 2025. SG&amp;A expenses were $10 higher in the third quarter of 2026 primarily due to higher legal and professional services costs, higher incentive compensation expense and higher costs associated with information technology initiatives.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Amortization of intangibles</w:t>
      </w:r>
      <w:r>
        <w:rPr>
          <w:rFonts w:ascii="Times New Roman" w:hAnsi="Times New Roman"/>
          <w:sz w:val="20"/>
        </w:rPr>
        <w:t xml:space="preserve"> — Amortization expense was $1 in the third quarter of 2026 and $2 in the third quarter of 2025. See Note 3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Restructuring charges, net</w:t>
      </w:r>
      <w:r>
        <w:rPr>
          <w:rFonts w:ascii="Times New Roman" w:hAnsi="Times New Roman"/>
          <w:sz w:val="20"/>
        </w:rPr>
        <w:t> — Net restructuring charges were $5 in the third quarter of 2026 and $4 in the third quarter of 2025. See Note 4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 The following table shows the major components of other income (expense), net.</w:t>
      </w:r>
    </w:p>
    <w:p>
      <w:pPr>
        <w:pStyle w:val="TextBody"/>
        <w:bidi w:val="0"/>
        <w:spacing w:before="0" w:after="0"/>
        <w:ind w:left="0" w:right="0" w:hanging="0"/>
        <w:jc w:val="left"/>
      </w:pPr>
      <w:r>
        <w:t> </w:t>
      </w:r>
    </w:p>
    <w:tbl>
      <w:tblPr>
        <w:tblW w:w="6507" w:type="dxa"/>
        <w:jc w:val="left"/>
        <w:tblInd w:w="0" w:type="dxa"/>
        <w:tblLayout w:type="fixed"/>
        <w:tblCellMar>
          <w:top w:w="0" w:type="dxa"/>
          <w:left w:w="0" w:type="dxa"/>
          <w:bottom w:w="0" w:type="dxa"/>
          <w:right w:w="0" w:type="dxa"/>
        </w:tblCellMar>
      </w:tblPr>
      <w:tblGrid>
        <w:gridCol w:w="4640"/>
        <w:gridCol w:w="60"/>
        <w:gridCol w:w="222"/>
        <w:gridCol w:w="517"/>
        <w:gridCol w:w="142"/>
        <w:gridCol w:w="107"/>
        <w:gridCol w:w="222"/>
        <w:gridCol w:w="517"/>
        <w:gridCol w:w="80"/>
      </w:tblGrid>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c>
          <w:tcPr>
            <w:tcW w:w="80" w:type="dxa"/>
            <w:tcBorders/>
            <w:shd w:fill="FFFF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c>
          <w:tcPr>
            <w:tcW w:w="107" w:type="dxa"/>
            <w:tcBorders/>
            <w:shd w:fill="FFFFFF" w:val="clear"/>
            <w:vAlign w:val="center"/>
          </w:tcPr>
          <w:p>
            <w:pPr>
              <w:pStyle w:val="TableContents"/>
              <w:bidi w:val="0"/>
              <w:spacing w:before="0" w:after="283"/>
              <w:ind w:left="0" w:right="0" w:hanging="0"/>
              <w:jc w:val="left"/>
            </w:pPr>
            <w:r>
              <w:t> </w:t>
            </w:r>
          </w:p>
        </w:tc>
        <w:tc>
          <w:tcPr>
            <w:tcW w:w="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color w:val="000000"/>
              </w:rPr>
            </w:pPr>
            <w:r>
              <w:rPr>
                <w:color w:val="000000"/>
              </w:rP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pPr>
            <w: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pPr>
            <w:r>
              <w:t>—</w:t>
            </w:r>
          </w:p>
        </w:tc>
        <w:tc>
          <w:tcPr>
            <w:tcW w:w="142"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ind w:left="0" w:right="0" w:hanging="0"/>
              <w:jc w:val="left"/>
            </w:pPr>
            <w: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assistance</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517" w:type="dxa"/>
            <w:tcBorders/>
            <w:shd w:fill="FFFFFF" w:val="clear"/>
            <w:vAlign w:val="center"/>
          </w:tcPr>
          <w:p>
            <w:pPr>
              <w:pStyle w:val="TableContents"/>
              <w:bidi w:val="0"/>
              <w:spacing w:before="0" w:after="283"/>
              <w:jc w:val="right"/>
            </w:pPr>
            <w:r>
              <w:t> </w:t>
            </w:r>
          </w:p>
        </w:tc>
        <w:tc>
          <w:tcPr>
            <w:tcW w:w="142" w:type="dxa"/>
            <w:tcBorders/>
            <w:shd w:fill="FFFFFF" w:val="cle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5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6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transaction expenses</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ind w:left="0" w:right="0" w:hanging="0"/>
              <w:jc w:val="left"/>
            </w:pPr>
            <w: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ind w:left="0" w:right="0" w:hanging="0"/>
              <w:jc w:val="left"/>
            </w:pPr>
            <w:r>
              <w:t> </w:t>
            </w:r>
          </w:p>
        </w:tc>
        <w:tc>
          <w:tcPr>
            <w:tcW w:w="5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of property, plant and equipment</w:t>
            </w:r>
          </w:p>
        </w:tc>
        <w:tc>
          <w:tcPr>
            <w:tcW w:w="6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pPr>
            <w:r>
              <w:t> </w:t>
            </w:r>
          </w:p>
        </w:tc>
        <w:tc>
          <w:tcPr>
            <w:tcW w:w="142"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vehicle program termination charges</w:t>
            </w:r>
          </w:p>
        </w:tc>
        <w:tc>
          <w:tcPr>
            <w:tcW w:w="60"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5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pPr>
            <w:r>
              <w:t> </w:t>
            </w:r>
          </w:p>
        </w:tc>
        <w:tc>
          <w:tcPr>
            <w:tcW w:w="222" w:type="dxa"/>
            <w:tcBorders/>
            <w:shd w:fill="FFFFFF" w:val="clear"/>
            <w:vAlign w:val="center"/>
          </w:tcPr>
          <w:p>
            <w:pPr>
              <w:pStyle w:val="TableContents"/>
              <w:bidi w:val="0"/>
              <w:spacing w:before="0" w:after="283"/>
              <w:jc w:val="left"/>
            </w:pPr>
            <w:r>
              <w:t> </w:t>
            </w:r>
          </w:p>
        </w:tc>
        <w:tc>
          <w:tcPr>
            <w:tcW w:w="517"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services income</w:t>
            </w:r>
          </w:p>
        </w:tc>
        <w:tc>
          <w:tcPr>
            <w:tcW w:w="60"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42"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jc w:val="left"/>
            </w:pPr>
            <w:r>
              <w:t> </w:t>
            </w:r>
          </w:p>
        </w:tc>
        <w:tc>
          <w:tcPr>
            <w:tcW w:w="222" w:type="dxa"/>
            <w:tcBorders/>
            <w:shd w:fill="CCEEFF" w:val="clear"/>
            <w:vAlign w:val="center"/>
          </w:tcPr>
          <w:p>
            <w:pPr>
              <w:pStyle w:val="TableContents"/>
              <w:bidi w:val="0"/>
              <w:spacing w:before="0" w:after="283"/>
              <w:jc w:val="left"/>
            </w:pPr>
            <w:r>
              <w:t> </w:t>
            </w:r>
          </w:p>
        </w:tc>
        <w:tc>
          <w:tcPr>
            <w:tcW w:w="517"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283"/>
              <w:ind w:left="0" w:right="0" w:hanging="0"/>
              <w:jc w:val="left"/>
            </w:pPr>
            <w: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42"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107" w:type="dxa"/>
            <w:tcBorders/>
            <w:shd w:fill="FFFFFF" w:val="clear"/>
            <w:vAlign w:val="center"/>
          </w:tcPr>
          <w:p>
            <w:pPr>
              <w:pStyle w:val="TableContents"/>
              <w:bidi w:val="0"/>
              <w:spacing w:before="0" w:after="283"/>
              <w:ind w:left="0" w:right="0" w:hanging="0"/>
              <w:jc w:val="left"/>
            </w:pPr>
            <w: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CCEEFF" w:val="clear"/>
            <w:vAlign w:val="center"/>
          </w:tcPr>
          <w:p>
            <w:pPr>
              <w:pStyle w:val="TableContents"/>
              <w:bidi w:val="0"/>
              <w:spacing w:before="0" w:after="283"/>
              <w:ind w:left="0" w:right="0" w:hanging="0"/>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p>
        </w:tc>
        <w:tc>
          <w:tcPr>
            <w:tcW w:w="107" w:type="dxa"/>
            <w:tcBorders/>
            <w:shd w:fill="CCEEFF" w:val="clear"/>
            <w:vAlign w:val="center"/>
          </w:tcPr>
          <w:p>
            <w:pPr>
              <w:pStyle w:val="TableContents"/>
              <w:bidi w:val="0"/>
              <w:spacing w:before="0" w:after="283"/>
              <w:ind w:left="0" w:right="0" w:hanging="0"/>
              <w:jc w:val="left"/>
            </w:pPr>
            <w: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 relate primarily to costs incurred in connection with acquisition and divestiture related activities, including costs to complete the transaction and post-closing integration costs, and other strategic initiatives. Strategic transaction expenses in 2026 were primarily attributable to the potential acquisition of Eaton's Mobility business. See Note 1 of our consolidated financial statements in Item 1 of Part I for additional information. On January 1, 2026, we sold our Off-Highway business to Allison Transmission Holdings, Inc.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2 to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Loss on extinguishment of debt</w:t>
      </w:r>
      <w:r>
        <w:rPr>
          <w:rFonts w:ascii="Times New Roman;Times;serif" w:hAnsi="Times New Roman;Times;serif"/>
          <w:caps w:val="false"/>
          <w:smallCaps w:val="false"/>
          <w:sz w:val="20"/>
        </w:rPr>
        <w:t> — The $24 loss on extinguishment of debt in 2026 is comprised of a $20 redemption premium and the write-off of $4 of deferred financing costs associated with the redemptions of certain of our senior notes. See Note 10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Interest income and interest expense </w:t>
      </w:r>
      <w:r>
        <w:rPr>
          <w:rFonts w:ascii="Times New Roman;Times;serif" w:hAnsi="Times New Roman;Times;serif"/>
          <w:caps w:val="false"/>
          <w:smallCaps w:val="false"/>
          <w:sz w:val="20"/>
        </w:rPr>
        <w:t>— Interest income was $4 in the third quarter of 2026 and $3 in the third quarter of 2025. Interest expense decreased from $47 in the third quarter of 2025 to $20 in the third quarter of 2026, reflecting lower average outstanding borrowings. See Note 10 of our consolidated financial statements in Item 1 of Part I for additional information. Average effective interest rates, inclusive of amortization of debt issuance costs, approximated 5.3% in the third quarter of 2026 and 5.4% in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 We reported income tax expense of $64 and income tax benefit of ($2) for the third quarters of 2026 and 2025, respectively. Our effective tax rates were 123% and (22)% for the third quarters of 2026 and 2025, respectively. During the third quarter of 2026, we recorded $29 of income tax expense resulting from the settlement of an income tax audit in a foreign jurisdiction and income tax benefit of $12 associated with a change in tax status for a foreign entity. During the third quarter of 2025, we recorded income tax benefit of ($27) resulting from the release of valuation allowance on certain U.S. federal attributes and $6 of income tax expense due to revisions in our assertions on unremitted earnings in foreign jurisdictions.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may vary significantly due to fluctuations in the amounts and sources, both foreign and domestic, of pretax income and changes in the amounts of non-deductible expenses.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in earnings of affiliates</w:t>
      </w:r>
      <w:r>
        <w:rPr>
          <w:rFonts w:ascii="Times New Roman;Times;serif" w:hAnsi="Times New Roman;Times;serif"/>
          <w:sz w:val="20"/>
        </w:rPr>
        <w:t xml:space="preserve"> — Net earnings from equity investments was $2 in the third quarter of 2026 and $2 in the third quarter of 2025. Net earnings from Dongfeng Dana Axle Co., Ltd. (DDAC) were $2 in the third quarter of 2026 and $1 in the third quarter of 2025. See Note 18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Net income from discontinued operations</w:t>
      </w:r>
      <w:r>
        <w:rPr>
          <w:rFonts w:ascii="Times New Roman;Times;serif" w:hAnsi="Times New Roman;Times;serif"/>
          <w:sz w:val="20"/>
        </w:rPr>
        <w:t> — Net income from discontinued operations was $29 in the third quarter of 2026 and $74 in the third quarter of 2025. The Off-Highway business sale transaction closed on January 1, 2026. The Off-Highway business's Mexican operations continue to be presented as discontinued operations, as those operations have not yet legally transferred to the buyer. See Note 2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Consolidated Results of Operations (Year-to-Date, 2026 versus 2025)</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4565"/>
        <w:gridCol w:w="60"/>
        <w:gridCol w:w="132"/>
        <w:gridCol w:w="516"/>
        <w:gridCol w:w="85"/>
        <w:gridCol w:w="63"/>
        <w:gridCol w:w="135"/>
        <w:gridCol w:w="863"/>
        <w:gridCol w:w="196"/>
        <w:gridCol w:w="63"/>
        <w:gridCol w:w="132"/>
        <w:gridCol w:w="516"/>
        <w:gridCol w:w="85"/>
        <w:gridCol w:w="63"/>
        <w:gridCol w:w="135"/>
        <w:gridCol w:w="863"/>
        <w:gridCol w:w="185"/>
        <w:gridCol w:w="60"/>
        <w:gridCol w:w="380"/>
        <w:gridCol w:w="1019"/>
        <w:gridCol w:w="89"/>
      </w:tblGrid>
      <w:tr>
        <w:tc>
          <w:tcPr>
            <w:tcW w:w="45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4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jc w:val="left"/>
            </w:pPr>
            <w:r>
              <w:t> </w:t>
            </w:r>
          </w:p>
        </w:tc>
        <w:tc>
          <w:tcPr>
            <w:tcW w:w="1019" w:type="dxa"/>
            <w:tcBorders/>
            <w:shd w:fill="FFFFFF" w:val="clear"/>
            <w:vAlign w:val="center"/>
          </w:tcPr>
          <w:p>
            <w:pPr>
              <w:pStyle w:val="TableContents"/>
              <w:bidi w:val="0"/>
              <w:spacing w:before="0" w:after="283"/>
              <w:jc w:val="center"/>
            </w:pPr>
            <w:r>
              <w:t> </w:t>
            </w:r>
          </w:p>
        </w:tc>
        <w:tc>
          <w:tcPr>
            <w:tcW w:w="89" w:type="dxa"/>
            <w:tcBorders/>
            <w:shd w:fill="FFFFFF" w:val="clear"/>
            <w:vAlign w:val="center"/>
          </w:tcPr>
          <w:p>
            <w:pPr>
              <w:pStyle w:val="TableContents"/>
              <w:bidi w:val="0"/>
              <w:spacing w:before="0" w:after="283"/>
              <w:jc w:val="left"/>
            </w:pPr>
            <w:r>
              <w:t> </w:t>
            </w:r>
          </w:p>
        </w:tc>
      </w:tr>
      <w:tr>
        <w:tc>
          <w:tcPr>
            <w:tcW w:w="45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17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jc w:val="left"/>
            </w:pPr>
            <w:r>
              <w:t> </w:t>
            </w:r>
          </w:p>
        </w:tc>
        <w:tc>
          <w:tcPr>
            <w:tcW w:w="1019" w:type="dxa"/>
            <w:tcBorders/>
            <w:shd w:fill="FFFFFF" w:val="clear"/>
            <w:vAlign w:val="center"/>
          </w:tcPr>
          <w:p>
            <w:pPr>
              <w:pStyle w:val="TableContents"/>
              <w:bidi w:val="0"/>
              <w:spacing w:before="0" w:after="283"/>
              <w:jc w:val="center"/>
            </w:pPr>
            <w:r>
              <w:t> </w:t>
            </w:r>
          </w:p>
        </w:tc>
        <w:tc>
          <w:tcPr>
            <w:tcW w:w="89" w:type="dxa"/>
            <w:tcBorders/>
            <w:shd w:fill="FFFFFF" w:val="clear"/>
            <w:vAlign w:val="center"/>
          </w:tcPr>
          <w:p>
            <w:pPr>
              <w:pStyle w:val="TableContents"/>
              <w:bidi w:val="0"/>
              <w:spacing w:before="0" w:after="283"/>
              <w:jc w:val="left"/>
            </w:pPr>
            <w:r>
              <w:t> </w:t>
            </w:r>
          </w:p>
        </w:tc>
      </w:tr>
      <w:tr>
        <w:tc>
          <w:tcPr>
            <w:tcW w:w="45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6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ind w:left="0" w:right="0" w:hanging="0"/>
              <w:jc w:val="left"/>
            </w:pPr>
            <w: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pPr>
            <w: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9" w:type="dxa"/>
            <w:tcBorders/>
            <w:shd w:fill="CCEEFF" w:val="clear"/>
            <w:vAlign w:val="center"/>
          </w:tcPr>
          <w:p>
            <w:pPr>
              <w:pStyle w:val="TableContents"/>
              <w:bidi w:val="0"/>
              <w:spacing w:before="0" w:after="283"/>
              <w:ind w:left="0" w:right="0" w:hanging="0"/>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8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ind w:left="0" w:right="0" w:hanging="0"/>
              <w:jc w:val="left"/>
            </w:pPr>
            <w: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9" w:type="dxa"/>
            <w:tcBorders/>
            <w:shd w:fill="CCEEFF" w:val="clear"/>
            <w:vAlign w:val="center"/>
          </w:tcPr>
          <w:p>
            <w:pPr>
              <w:pStyle w:val="TableContents"/>
              <w:bidi w:val="0"/>
              <w:spacing w:before="0" w:after="283"/>
              <w:ind w:left="0" w:right="0" w:hanging="0"/>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9" w:type="dxa"/>
            <w:tcBorders/>
            <w:shd w:fill="FFFFFF" w:val="cle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ind w:left="0" w:right="0" w:hanging="0"/>
              <w:jc w:val="left"/>
            </w:pPr>
            <w: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9" w:type="dxa"/>
            <w:tcBorders/>
            <w:shd w:fill="FFFFFF" w:val="cle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5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continuing operations before interest and income taxes</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9" w:type="dxa"/>
            <w:tcBorders/>
            <w:shd w:fill="FFFFFF" w:val="clear"/>
            <w:vAlign w:val="center"/>
          </w:tcPr>
          <w:p>
            <w:pPr>
              <w:pStyle w:val="TableContents"/>
              <w:bidi w:val="0"/>
              <w:spacing w:before="0" w:after="283"/>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5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516" w:type="dxa"/>
            <w:tcBorders/>
            <w:shd w:fill="CCEEFF" w:val="clear"/>
            <w:vAlign w:val="center"/>
          </w:tcPr>
          <w:p>
            <w:pPr>
              <w:pStyle w:val="TableContents"/>
              <w:bidi w:val="0"/>
              <w:spacing w:before="0" w:after="283"/>
              <w:jc w:val="right"/>
            </w:pPr>
            <w:r>
              <w:t> </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jc w:val="left"/>
            </w:pPr>
            <w: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9" w:type="dxa"/>
            <w:tcBorders/>
            <w:shd w:fill="FFFFFF" w:val="cle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5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5"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shd w:fill="FFFFFF" w:val="clear"/>
            <w:vAlign w:val="center"/>
          </w:tcPr>
          <w:p>
            <w:pPr>
              <w:pStyle w:val="TableContents"/>
              <w:bidi w:val="0"/>
              <w:spacing w:before="0" w:after="283"/>
              <w:ind w:left="0" w:right="0" w:hanging="0"/>
              <w:jc w:val="left"/>
            </w:pPr>
            <w: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shd w:fill="FFFFFF" w:val="clear"/>
            <w:vAlign w:val="center"/>
          </w:tcPr>
          <w:p>
            <w:pPr>
              <w:pStyle w:val="TableContents"/>
              <w:bidi w:val="0"/>
              <w:spacing w:before="0" w:after="283"/>
              <w:ind w:left="0" w:right="0" w:hanging="0"/>
              <w:jc w:val="left"/>
            </w:pPr>
            <w: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9" w:type="dxa"/>
            <w:tcBorders/>
            <w:shd w:fill="FFFFFF" w:val="clear"/>
            <w:vAlign w:val="center"/>
          </w:tcPr>
          <w:p>
            <w:pPr>
              <w:pStyle w:val="TableContents"/>
              <w:bidi w:val="0"/>
              <w:spacing w:before="0" w:after="283"/>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5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jc w:val="left"/>
            </w:pPr>
            <w:r>
              <w:t> </w:t>
            </w:r>
          </w:p>
        </w:tc>
        <w:tc>
          <w:tcPr>
            <w:tcW w:w="51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jc w:val="left"/>
            </w:pPr>
            <w:r>
              <w:t> </w:t>
            </w:r>
          </w:p>
        </w:tc>
        <w:tc>
          <w:tcPr>
            <w:tcW w:w="10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w:t>
            </w:r>
          </w:p>
        </w:tc>
        <w:tc>
          <w:tcPr>
            <w:tcW w:w="89" w:type="dxa"/>
            <w:tcBorders/>
            <w:shd w:fill="CCEEFF" w:val="clear"/>
            <w:vAlign w:val="center"/>
          </w:tcPr>
          <w:p>
            <w:pPr>
              <w:pStyle w:val="TableContents"/>
              <w:bidi w:val="0"/>
              <w:spacing w:before="0" w:after="283"/>
              <w:ind w:left="0" w:right="0" w:hanging="0"/>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ind w:left="0" w:right="0" w:hanging="0"/>
              <w:jc w:val="left"/>
            </w:pPr>
            <w: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9" w:type="dxa"/>
            <w:tcBorders/>
            <w:shd w:fill="CCEEFF" w:val="clear"/>
            <w:vAlign w:val="center"/>
          </w:tcPr>
          <w:p>
            <w:pPr>
              <w:pStyle w:val="TableContents"/>
              <w:bidi w:val="0"/>
              <w:spacing w:before="0" w:after="283"/>
              <w:ind w:left="0" w:right="0" w:hanging="0"/>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from discontinued operations</w:t>
            </w:r>
          </w:p>
        </w:tc>
        <w:tc>
          <w:tcPr>
            <w:tcW w:w="60"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2" w:type="dxa"/>
            <w:tcBorders/>
            <w:shd w:fill="CCEEFF" w:val="clear"/>
            <w:vAlign w:val="center"/>
          </w:tcPr>
          <w:p>
            <w:pPr>
              <w:pStyle w:val="TableContents"/>
              <w:bidi w:val="0"/>
              <w:spacing w:before="0" w:after="283"/>
              <w:ind w:left="0" w:right="0" w:hanging="0"/>
              <w:jc w:val="left"/>
            </w:pPr>
            <w: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5"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0" w:type="dxa"/>
            <w:tcBorders/>
            <w:shd w:fill="CCEEFF" w:val="clear"/>
            <w:vAlign w:val="center"/>
          </w:tcPr>
          <w:p>
            <w:pPr>
              <w:pStyle w:val="TableContents"/>
              <w:bidi w:val="0"/>
              <w:spacing w:before="0" w:after="283"/>
              <w:ind w:left="0" w:right="0" w:hanging="0"/>
              <w:jc w:val="left"/>
            </w:pPr>
            <w: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9" w:type="dxa"/>
            <w:tcBorders/>
            <w:shd w:fill="CCEEFF" w:val="clear"/>
            <w:vAlign w:val="center"/>
          </w:tcPr>
          <w:p>
            <w:pPr>
              <w:pStyle w:val="TableContents"/>
              <w:bidi w:val="0"/>
              <w:spacing w:before="0" w:after="283"/>
              <w:ind w:left="180" w:right="0" w:hanging="0"/>
              <w:jc w:val="left"/>
            </w:pPr>
            <w:r>
              <w:t> </w:t>
            </w:r>
          </w:p>
        </w:tc>
      </w:tr>
      <w:tr>
        <w:tc>
          <w:tcPr>
            <w:tcW w:w="456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Noncontrolling interests net income from continuing operations</w:t>
            </w:r>
          </w:p>
        </w:tc>
        <w:tc>
          <w:tcPr>
            <w:tcW w:w="60"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96"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863"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the parent company</w:t>
            </w:r>
          </w:p>
        </w:tc>
        <w:tc>
          <w:tcPr>
            <w:tcW w:w="60" w:type="dxa"/>
            <w:tcBorders/>
            <w:shd w:fill="CCEEFF" w:val="clear"/>
            <w:vAlign w:val="center"/>
          </w:tcPr>
          <w:p>
            <w:pPr>
              <w:pStyle w:val="TableContents"/>
              <w:bidi w:val="0"/>
              <w:spacing w:before="0" w:after="283"/>
              <w:ind w:left="0" w:right="0" w:hanging="0"/>
              <w:jc w:val="left"/>
            </w:pPr>
            <w: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96"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ind w:left="0" w:right="0" w:hanging="0"/>
              <w:jc w:val="left"/>
            </w:pPr>
            <w: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863"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Sales</w:t>
      </w:r>
      <w:r>
        <w:rPr>
          <w:rFonts w:ascii="Times New Roman;Times;serif" w:hAnsi="Times New Roman;Times;serif"/>
          <w:sz w:val="20"/>
        </w:rPr>
        <w:t xml:space="preserve"> — The following table shows changes in our sales by geographic region.</w:t>
      </w:r>
    </w:p>
    <w:p>
      <w:pPr>
        <w:pStyle w:val="TextBody"/>
        <w:bidi w:val="0"/>
        <w:spacing w:before="0" w:after="0"/>
        <w:ind w:left="0" w:right="0" w:hanging="0"/>
        <w:jc w:val="left"/>
      </w:pPr>
      <w:r>
        <w:t> </w:t>
      </w:r>
    </w:p>
    <w:tbl>
      <w:tblPr>
        <w:tblW w:w="9071" w:type="dxa"/>
        <w:jc w:val="left"/>
        <w:tblInd w:w="0" w:type="dxa"/>
        <w:tblLayout w:type="fixed"/>
        <w:tblCellMar>
          <w:top w:w="0" w:type="dxa"/>
          <w:left w:w="0" w:type="dxa"/>
          <w:bottom w:w="0" w:type="dxa"/>
          <w:right w:w="0" w:type="dxa"/>
        </w:tblCellMar>
      </w:tblPr>
      <w:tblGrid>
        <w:gridCol w:w="1220"/>
        <w:gridCol w:w="60"/>
        <w:gridCol w:w="154"/>
        <w:gridCol w:w="599"/>
        <w:gridCol w:w="74"/>
        <w:gridCol w:w="74"/>
        <w:gridCol w:w="154"/>
        <w:gridCol w:w="599"/>
        <w:gridCol w:w="60"/>
        <w:gridCol w:w="60"/>
        <w:gridCol w:w="441"/>
        <w:gridCol w:w="1183"/>
        <w:gridCol w:w="60"/>
        <w:gridCol w:w="60"/>
        <w:gridCol w:w="482"/>
        <w:gridCol w:w="887"/>
        <w:gridCol w:w="121"/>
        <w:gridCol w:w="90"/>
        <w:gridCol w:w="361"/>
        <w:gridCol w:w="753"/>
        <w:gridCol w:w="90"/>
        <w:gridCol w:w="90"/>
        <w:gridCol w:w="363"/>
        <w:gridCol w:w="976"/>
        <w:gridCol w:w="60"/>
      </w:tblGrid>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jc w:val="left"/>
            </w:pPr>
            <w:r>
              <w:t> </w:t>
            </w:r>
          </w:p>
        </w:tc>
        <w:tc>
          <w:tcPr>
            <w:tcW w:w="118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2" w:type="dxa"/>
            <w:tcBorders/>
            <w:shd w:fill="FFFFFF" w:val="clear"/>
            <w:vAlign w:val="center"/>
          </w:tcPr>
          <w:p>
            <w:pPr>
              <w:pStyle w:val="TableContents"/>
              <w:bidi w:val="0"/>
              <w:spacing w:before="0" w:after="283"/>
              <w:jc w:val="left"/>
            </w:pPr>
            <w:r>
              <w:t> </w:t>
            </w:r>
          </w:p>
        </w:tc>
        <w:tc>
          <w:tcPr>
            <w:tcW w:w="887" w:type="dxa"/>
            <w:tcBorders/>
            <w:shd w:fill="FFFFFF" w:val="clear"/>
            <w:vAlign w:val="center"/>
          </w:tcPr>
          <w:p>
            <w:pPr>
              <w:pStyle w:val="TableContents"/>
              <w:bidi w:val="0"/>
              <w:spacing w:before="0" w:after="283"/>
              <w:jc w:val="center"/>
            </w:pPr>
            <w:r>
              <w:t> </w:t>
            </w:r>
          </w:p>
        </w:tc>
        <w:tc>
          <w:tcPr>
            <w:tcW w:w="121"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jc w:val="left"/>
            </w:pPr>
            <w:r>
              <w:t> </w:t>
            </w:r>
          </w:p>
        </w:tc>
        <w:tc>
          <w:tcPr>
            <w:tcW w:w="753" w:type="dxa"/>
            <w:tcBorders/>
            <w:shd w:fill="FFFFFF" w:val="clear"/>
            <w:vAlign w:val="center"/>
          </w:tcPr>
          <w:p>
            <w:pPr>
              <w:pStyle w:val="TableContents"/>
              <w:bidi w:val="0"/>
              <w:spacing w:before="0" w:after="283"/>
              <w:jc w:val="center"/>
            </w:pPr>
            <w:r>
              <w:t> </w:t>
            </w:r>
          </w:p>
        </w:tc>
        <w:tc>
          <w:tcPr>
            <w:tcW w:w="90"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363" w:type="dxa"/>
            <w:tcBorders/>
            <w:shd w:fill="FFFFFF" w:val="clear"/>
            <w:vAlign w:val="center"/>
          </w:tcPr>
          <w:p>
            <w:pPr>
              <w:pStyle w:val="TableContents"/>
              <w:bidi w:val="0"/>
              <w:spacing w:before="0" w:after="283"/>
              <w:jc w:val="left"/>
            </w:pPr>
            <w:r>
              <w:t> </w:t>
            </w:r>
          </w:p>
        </w:tc>
        <w:tc>
          <w:tcPr>
            <w:tcW w:w="976"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jc w:val="left"/>
            </w:pPr>
            <w:r>
              <w:t> </w:t>
            </w:r>
          </w:p>
        </w:tc>
        <w:tc>
          <w:tcPr>
            <w:tcW w:w="1183" w:type="dxa"/>
            <w:tcBorders/>
            <w:shd w:fill="FFFFFF" w:val="clear"/>
            <w:vAlign w:val="center"/>
          </w:tcPr>
          <w:p>
            <w:pPr>
              <w:pStyle w:val="TableContents"/>
              <w:bidi w:val="0"/>
              <w:spacing w:before="0" w:after="283"/>
              <w:jc w:val="center"/>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2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 of Change Due To</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ind w:left="0" w:right="0" w:hanging="0"/>
              <w:jc w:val="left"/>
            </w:pPr>
            <w: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1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(Divestitures)</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Organic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pPr>
            <w: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ind w:left="0" w:right="0" w:hanging="0"/>
              <w:jc w:val="left"/>
            </w:pPr>
            <w: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3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283"/>
              <w:ind w:left="0" w:right="0" w:hanging="0"/>
              <w:jc w:val="right"/>
            </w:pPr>
            <w:r>
              <w:t>—</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3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w:t>
            </w:r>
          </w:p>
        </w:tc>
        <w:tc>
          <w:tcPr>
            <w:tcW w:w="60"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ind w:left="0" w:right="0" w:hanging="0"/>
              <w:jc w:val="left"/>
            </w:pPr>
            <w: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74"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54" w:type="dxa"/>
            <w:tcBorders/>
            <w:shd w:fill="FFFFFF" w:val="clear"/>
            <w:vAlign w:val="center"/>
          </w:tcPr>
          <w:p>
            <w:pPr>
              <w:pStyle w:val="TableContents"/>
              <w:bidi w:val="0"/>
              <w:spacing w:before="0" w:after="283"/>
              <w:ind w:left="0" w:right="0" w:hanging="0"/>
              <w:jc w:val="left"/>
            </w:pPr>
            <w: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41" w:type="dxa"/>
            <w:tcBorders/>
            <w:shd w:fill="FFFFFF" w:val="clear"/>
            <w:vAlign w:val="center"/>
          </w:tcPr>
          <w:p>
            <w:pPr>
              <w:pStyle w:val="TableContents"/>
              <w:bidi w:val="0"/>
              <w:spacing w:before="0" w:after="283"/>
              <w:ind w:left="0" w:right="0" w:hanging="0"/>
              <w:jc w:val="left"/>
            </w:pPr>
            <w: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82" w:type="dxa"/>
            <w:tcBorders/>
            <w:shd w:fill="FFFFFF" w:val="clear"/>
            <w:vAlign w:val="center"/>
          </w:tcPr>
          <w:p>
            <w:pPr>
              <w:pStyle w:val="TableContents"/>
              <w:bidi w:val="0"/>
              <w:spacing w:before="0" w:after="283"/>
              <w:ind w:left="0" w:right="0" w:hanging="0"/>
              <w:jc w:val="left"/>
            </w:pPr>
            <w:r>
              <w:t> </w:t>
            </w:r>
          </w:p>
        </w:tc>
        <w:tc>
          <w:tcPr>
            <w:tcW w:w="8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21"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361" w:type="dxa"/>
            <w:tcBorders/>
            <w:shd w:fill="FFFFFF" w:val="clear"/>
            <w:vAlign w:val="center"/>
          </w:tcPr>
          <w:p>
            <w:pPr>
              <w:pStyle w:val="TableContents"/>
              <w:bidi w:val="0"/>
              <w:spacing w:before="0" w:after="283"/>
              <w:jc w:val="left"/>
            </w:pPr>
            <w:r>
              <w:t> </w:t>
            </w:r>
          </w:p>
        </w:tc>
        <w:tc>
          <w:tcPr>
            <w:tcW w:w="753" w:type="dxa"/>
            <w:tcBorders/>
            <w:shd w:fill="FFFFFF" w:val="clear"/>
            <w:vAlign w:val="center"/>
          </w:tcPr>
          <w:p>
            <w:pPr>
              <w:pStyle w:val="TableContents"/>
              <w:bidi w:val="0"/>
              <w:spacing w:before="0" w:after="283"/>
              <w:jc w:val="right"/>
            </w:pPr>
            <w:r>
              <w:t> </w:t>
            </w:r>
          </w:p>
        </w:tc>
        <w:tc>
          <w:tcPr>
            <w:tcW w:w="90"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363" w:type="dxa"/>
            <w:tcBorders/>
            <w:shd w:fill="FFFFFF" w:val="clear"/>
            <w:vAlign w:val="center"/>
          </w:tcPr>
          <w:p>
            <w:pPr>
              <w:pStyle w:val="TableContents"/>
              <w:bidi w:val="0"/>
              <w:spacing w:before="0" w:after="283"/>
              <w:ind w:left="0" w:right="0" w:hanging="0"/>
              <w:jc w:val="left"/>
            </w:pPr>
            <w: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America</w:t>
            </w:r>
          </w:p>
        </w:tc>
        <w:tc>
          <w:tcPr>
            <w:tcW w:w="60"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ind w:left="0" w:right="0" w:hanging="0"/>
              <w:jc w:val="left"/>
            </w:pPr>
            <w: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74"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4" w:type="dxa"/>
            <w:tcBorders/>
            <w:shd w:fill="CCEEFF" w:val="clear"/>
            <w:vAlign w:val="center"/>
          </w:tcPr>
          <w:p>
            <w:pPr>
              <w:pStyle w:val="TableContents"/>
              <w:bidi w:val="0"/>
              <w:spacing w:before="0" w:after="283"/>
              <w:ind w:left="0" w:right="0" w:hanging="0"/>
              <w:jc w:val="left"/>
            </w:pPr>
            <w: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41" w:type="dxa"/>
            <w:tcBorders/>
            <w:shd w:fill="CCEEFF" w:val="clear"/>
            <w:vAlign w:val="center"/>
          </w:tcPr>
          <w:p>
            <w:pPr>
              <w:pStyle w:val="TableContents"/>
              <w:bidi w:val="0"/>
              <w:spacing w:before="0" w:after="283"/>
              <w:ind w:left="0" w:right="0" w:hanging="0"/>
              <w:jc w:val="left"/>
            </w:pPr>
            <w: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82" w:type="dxa"/>
            <w:tcBorders/>
            <w:shd w:fill="CCEEFF" w:val="clear"/>
            <w:vAlign w:val="center"/>
          </w:tcPr>
          <w:p>
            <w:pPr>
              <w:pStyle w:val="TableContents"/>
              <w:bidi w:val="0"/>
              <w:spacing w:before="0" w:after="283"/>
              <w:ind w:left="0" w:right="0" w:hanging="0"/>
              <w:jc w:val="left"/>
            </w:pPr>
            <w:r>
              <w:t> </w:t>
            </w:r>
          </w:p>
        </w:tc>
        <w:tc>
          <w:tcPr>
            <w:tcW w:w="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21"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1" w:type="dxa"/>
            <w:tcBorders/>
            <w:shd w:fill="CCEEFF" w:val="clear"/>
            <w:vAlign w:val="center"/>
          </w:tcPr>
          <w:p>
            <w:pPr>
              <w:pStyle w:val="TableContents"/>
              <w:bidi w:val="0"/>
              <w:spacing w:before="0" w:after="283"/>
              <w:jc w:val="left"/>
            </w:pPr>
            <w:r>
              <w:t> </w:t>
            </w:r>
          </w:p>
        </w:tc>
        <w:tc>
          <w:tcPr>
            <w:tcW w:w="753" w:type="dxa"/>
            <w:tcBorders/>
            <w:shd w:fill="CCEEFF" w:val="clear"/>
            <w:vAlign w:val="center"/>
          </w:tcPr>
          <w:p>
            <w:pPr>
              <w:pStyle w:val="TableContents"/>
              <w:bidi w:val="0"/>
              <w:spacing w:before="0" w:after="283"/>
              <w:jc w:val="righ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363" w:type="dxa"/>
            <w:tcBorders/>
            <w:shd w:fill="CCEEFF" w:val="clear"/>
            <w:vAlign w:val="center"/>
          </w:tcPr>
          <w:p>
            <w:pPr>
              <w:pStyle w:val="TableContents"/>
              <w:bidi w:val="0"/>
              <w:spacing w:before="0" w:after="283"/>
              <w:ind w:left="0" w:right="0" w:hanging="0"/>
              <w:jc w:val="left"/>
            </w:pPr>
            <w: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pPr>
            <w:r>
              <w:t> </w:t>
            </w:r>
          </w:p>
        </w:tc>
      </w:tr>
      <w:t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FFFFFF" w:val="clear"/>
            <w:vAlign w:val="center"/>
          </w:tcPr>
          <w:p>
            <w:pPr>
              <w:pStyle w:val="TableContents"/>
              <w:bidi w:val="0"/>
              <w:spacing w:before="0" w:after="283"/>
              <w:ind w:left="0" w:right="0" w:hanging="0"/>
              <w:jc w:val="left"/>
            </w:pPr>
            <w: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74"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74" w:type="dxa"/>
            <w:tcBorders/>
            <w:shd w:fill="FFFFFF" w:val="clear"/>
            <w:vAlign w:val="center"/>
          </w:tcPr>
          <w:p>
            <w:pPr>
              <w:pStyle w:val="TableContents"/>
              <w:bidi w:val="0"/>
              <w:spacing w:before="0" w:after="283"/>
              <w:ind w:left="0" w:right="0" w:hanging="0"/>
              <w:jc w:val="left"/>
            </w:pPr>
            <w: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11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8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1"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ind w:left="0" w:right="0" w:hanging="0"/>
              <w:jc w:val="left"/>
            </w:pPr>
            <w:r>
              <w:t> </w:t>
            </w:r>
          </w:p>
        </w:tc>
        <w:tc>
          <w:tcPr>
            <w:tcW w:w="3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7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 </w:t>
            </w:r>
          </w:p>
        </w:tc>
        <w:tc>
          <w:tcPr>
            <w:tcW w:w="9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9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ind w:left="0" w:right="0" w:hanging="0"/>
              <w:jc w:val="left"/>
            </w:pPr>
            <w: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3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pPr>
            <w: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in the first nine months of 2026 were $283 higher than 2025. Stronger international currencies increased sales by $93, principally due to a stronger euro, Brazilian real, South African rand, Chinese renminbi, and Mexican peso, partially offset by a weaker India rupee. The organic sales increase of $190 primarily resulted from pricing actions and recoveries, including material commodity, tariff and inflationary costs adjustments, and the conversion of sales backlog, partially offset by lower medium/heavy-truck production volumes in North America and lower electric-vehicle product orders in Europe and Asia Pacific. Pricing actions and recoveries, including material commodity, tariff and inflationary costs adjustments, increased sales by $130.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North America organic sales increase of 4% was driven principally by net customer pricing, tariff and cost recovery actions and the conversion of sales backlog, partially offset by lower medium- and heavy-truck production volumes. First nine months 2026 Class 8 and Classes 5-7 production were down 3% and 7%, respectively. Excluding currency effects, sales in Europe were up 4% compared to 2025, reflecting net customer pricing and cost recovery actions and an improvement in year-over-year first nine months light-truck and medium/heavy-truck production volumes. Excluding currency effects, sales in South America were up 2% compared to 2025, reflecting higher year-over-year medium/heavy-truck product sales. Excluding currency effects, sales in Asia Pacific increased 1% reflecting a modest improvement in year-over-year medium/heavy-truck production volumes, partially offset by lower electric vehicle-related product orders.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Cost of sales and gross margin</w:t>
      </w:r>
      <w:r>
        <w:rPr>
          <w:rFonts w:ascii="Times New Roman;Times;serif" w:hAnsi="Times New Roman;Times;serif"/>
          <w:sz w:val="20"/>
        </w:rPr>
        <w:t xml:space="preserve"> — Cost of sales for the first nine months of 2026 increased $125 when compared to 2025. Cost of sales as a percent of sales was 230 basis points lower than in the previous year. Incremental margins from operational efficiencies, including cost recoveries associated with a terminated customer program, of $99, higher material cost savings of $69, cost reduction initiatives of $57, lower premium freight costs of $16, lower product launch costs of $1 and favorable product mix were partially offset by non-material inflation of $81, tariff-related impacts of $65, commodity cost increases of $40, a union ratification bonus charge of $17 in 2026, higher spending on electrification initiatives of $13 and higher warranty expense of $13. Commodity costs are primarily driven by certain grades of steel and aluminum. Non-material inflation includes higher labor, energy and transportation rates.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 of $580 for the first nine months of 2026 increased $158 from 2025. Gross margin as a percent of sales was 9.8% in the first nine months of 2026, 230 basis points higher than in 2025. The improvement in gross margin as a percent of sales was driven principally by the cost of sales factors referenced above. Material cost recovery mechanisms with our customers lag material cost changes by our suppliers by approximately 90 days. The recovery of non-material inflation is not specifically provided for in our current contracts with customers resulting in prolonged negotiations and indeterminate recoveries.</w:t>
      </w:r>
    </w:p>
    <w:p>
      <w:pPr>
        <w:pStyle w:val="TextBody"/>
        <w:bidi w:val="0"/>
        <w:spacing w:before="0" w:after="0"/>
        <w:ind w:left="0" w:right="0" w:firstLine="36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 — SG&amp;A expenses in the first nine months of 2026 were $303 (5.1% of sales) as compared to $291 (5.2% of sales) in the first nine months of 2025. SG&amp;A expenses were $12 higher in the first nine months of 2026 primarily due to higher legal and professional services costs, higher incentive compensation expense and higher costs associated with information technology initiatives.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Amortization of intangibles</w:t>
      </w:r>
      <w:r>
        <w:rPr>
          <w:rFonts w:ascii="Times New Roman" w:hAnsi="Times New Roman"/>
          <w:sz w:val="20"/>
        </w:rPr>
        <w:t xml:space="preserve"> — Amortization expense was $4 in the first nine months of 2026 and $6 in the first nine months of 2025. See Note 3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Restructuring charges, net</w:t>
      </w:r>
      <w:r>
        <w:rPr>
          <w:rFonts w:ascii="Times New Roman" w:hAnsi="Times New Roman"/>
          <w:sz w:val="20"/>
        </w:rPr>
        <w:t> — Net restructuring charges were $20 in the first nine months of 2026 and $17 in the first nine months of 2025. See Note 4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sz w:val="20"/>
        </w:rPr>
      </w:pPr>
      <w:r>
        <w:rPr>
          <w:rFonts w:ascii="Times New Roman" w:hAnsi="Times New Roman"/>
          <w:i/>
          <w:sz w:val="20"/>
        </w:rPr>
        <w:t>Other income (expense), net</w:t>
      </w:r>
      <w:r>
        <w:rPr>
          <w:rFonts w:ascii="Times New Roman" w:hAnsi="Times New Roman"/>
          <w:sz w:val="20"/>
        </w:rPr>
        <w:t xml:space="preserve"> — The following table shows the major components of other income (expense), net.</w:t>
      </w:r>
    </w:p>
    <w:p>
      <w:pPr>
        <w:pStyle w:val="TextBody"/>
        <w:bidi w:val="0"/>
        <w:spacing w:before="0" w:after="0"/>
        <w:ind w:left="0" w:right="0" w:hanging="0"/>
        <w:jc w:val="left"/>
      </w:pPr>
      <w:r>
        <w:t> </w:t>
      </w:r>
    </w:p>
    <w:tbl>
      <w:tblPr>
        <w:tblW w:w="6432" w:type="dxa"/>
        <w:jc w:val="left"/>
        <w:tblInd w:w="0" w:type="dxa"/>
        <w:tblLayout w:type="fixed"/>
        <w:tblCellMar>
          <w:top w:w="0" w:type="dxa"/>
          <w:left w:w="0" w:type="dxa"/>
          <w:bottom w:w="0" w:type="dxa"/>
          <w:right w:w="0" w:type="dxa"/>
        </w:tblCellMar>
      </w:tblPr>
      <w:tblGrid>
        <w:gridCol w:w="4640"/>
        <w:gridCol w:w="60"/>
        <w:gridCol w:w="213"/>
        <w:gridCol w:w="494"/>
        <w:gridCol w:w="136"/>
        <w:gridCol w:w="102"/>
        <w:gridCol w:w="213"/>
        <w:gridCol w:w="494"/>
        <w:gridCol w:w="80"/>
      </w:tblGrid>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ind w:left="0" w:right="0" w:hanging="0"/>
              <w:jc w:val="left"/>
            </w:pPr>
            <w: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Non-service cost components of pension and OPEB costs</w:t>
            </w:r>
          </w:p>
        </w:tc>
        <w:tc>
          <w:tcPr>
            <w:tcW w:w="60" w:type="dxa"/>
            <w:tcBorders/>
            <w:shd w:fill="CCEEFF" w:val="clear"/>
            <w:vAlign w:val="center"/>
          </w:tcPr>
          <w:p>
            <w:pPr>
              <w:pStyle w:val="TableContents"/>
              <w:bidi w:val="0"/>
              <w:spacing w:before="0" w:after="283"/>
              <w:ind w:left="0" w:right="0" w:hanging="0"/>
              <w:jc w:val="left"/>
            </w:pPr>
            <w: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pPr>
            <w: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assistance</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jc w:val="left"/>
            </w:pPr>
            <w: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36" w:type="dxa"/>
            <w:tcBorders/>
            <w:shd w:fill="FFFFFF" w:val="cle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jc w:val="left"/>
            </w:pPr>
            <w: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4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494"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jc w:val="left"/>
            </w:pPr>
            <w: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jc w:val="left"/>
            </w:pPr>
            <w: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income</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136" w:type="dxa"/>
            <w:tcBorders/>
            <w:shd w:fill="CCEEFF" w:val="clear"/>
            <w:vAlign w:val="center"/>
          </w:tcPr>
          <w:p>
            <w:pPr>
              <w:pStyle w:val="TableContents"/>
              <w:bidi w:val="0"/>
              <w:spacing w:before="0" w:after="283"/>
              <w:jc w:val="left"/>
            </w:pPr>
            <w:r>
              <w:t> </w:t>
            </w:r>
          </w:p>
        </w:tc>
        <w:tc>
          <w:tcPr>
            <w:tcW w:w="102"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jc w:val="left"/>
            </w:pPr>
            <w:r>
              <w:t> </w:t>
            </w:r>
          </w:p>
        </w:tc>
        <w:tc>
          <w:tcPr>
            <w:tcW w:w="494"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pPr>
            <w: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2" w:type="dxa"/>
            <w:tcBorders/>
            <w:shd w:fill="FFFFFF" w:val="clear"/>
            <w:vAlign w:val="center"/>
          </w:tcPr>
          <w:p>
            <w:pPr>
              <w:pStyle w:val="TableContents"/>
              <w:bidi w:val="0"/>
              <w:spacing w:before="0" w:after="283"/>
              <w:jc w:val="left"/>
            </w:pPr>
            <w: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ind w:left="0" w:right="0" w:hanging="0"/>
              <w:jc w:val="left"/>
            </w:pPr>
            <w: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pPr>
            <w: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transaction expenses relate primarily to costs incurred in connection with acquisition and divestiture related activities, including costs to complete the transaction and post-closing integration costs, and other strategic initiatives. Strategic transaction expenses in 2026 were primarily attributable to the potential acquisition of Eaton's Mobility business. See Note 1 of our consolidated financial statements in Item 1 of Part I for additional information. During the first nine months of 2026, we recorded $60 of charges, including impairment and loss on disposition of property, plant and equipment, associated with certain electric vehicle programs that were either cancelled by the customer or that have experienced a precipitous decline in program volumes. On January 1, 2026, we sold our Off-Highway business to Allison Transmission Holdings, Inc. (Allison). At closing, Dana entered into a transition services agreement and an engineering services agreement with Allison. Services to be provided by Dana under the transition services agreement include finance, information technology, human resources and certain other administrative services for periods up to 24 months. See Note 2 of our consolidated financial statements in Item 1 of Part I for additional information. On January 30, 2026, we sold our wholly-owned subsidiary Pi Innovo LLC, recognizing a $8 pre-tax loss on the transaction. On June 6, 2025, we sold our ownership interest in Switch Mobility Limited, recognizing an $8 pre-tax loss on the transaction. See Note 18 to our consolidated financial statements in Item 1 of Part I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Loss on extinguishment of debt </w:t>
      </w:r>
      <w:r>
        <w:rPr>
          <w:rFonts w:ascii="Times New Roman;Times;serif" w:hAnsi="Times New Roman;Times;serif"/>
          <w:caps w:val="false"/>
          <w:smallCaps w:val="false"/>
          <w:sz w:val="20"/>
        </w:rPr>
        <w:t>— The $31 loss on extinguishment of debt in 2026 is comprised of a $20 redemption premium and the write-off of $11 of deferred financing costs associated with purchases and redemptions of certain of our senior notes. See Note 10 of our consolidated financial statements in Item 1 of Part I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Interest income and interest expense </w:t>
      </w:r>
      <w:r>
        <w:rPr>
          <w:rFonts w:ascii="Times New Roman;Times;serif" w:hAnsi="Times New Roman;Times;serif"/>
          <w:caps w:val="false"/>
          <w:smallCaps w:val="false"/>
          <w:sz w:val="20"/>
        </w:rPr>
        <w:t>— Interest income was $14 in the first nine months of 2026 and $8 in the first nine months of 2025. Interest expense decreased from $130 in the first nine months of 2025 to $63 in the first nine months of 2026, reflecting lower average outstanding borrowings. See Note 10 of our consolidated financial statements in Item 1 of Part I for additional information. Average effective interest rates, inclusive of amortization of debt issuance costs, approximated 6.0% in the first nine months of 2026 and 5.4%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 We reported income tax expense of $132 and income tax benefit of ($2) for the first nine months of 2026 and 2025, respectively. Our effective tax rates were 123% and 4% for the first nine months of 2026 and 2025, respectively. During the first nine months of 2026, we recorded $29 of income tax expense resulting from the settlement of an income tax audit in a foreign jurisdiction, income tax benefit of $12 associated with a change in tax status for a foreign entity, and $12 of income tax expense due to revisions in our assertions on unremitted earnings in foreign jurisdictions. During the first nine months of 2025, we recorded income tax benefit of $27 to release valuation allowance on certain U.S. federal attributes, $19 of income tax benefit due to a basis difference in a foreign subsidiary as a result of a change in tax status, $9 of income tax expense for income tax reserves associated with prior tax years in foreign jurisdictions, $6 of income tax expense due to revisions in our assertions on unremitted earnings in foreign jurisdictions and income tax expense of $6 resulting from the sale of Dana's ownership interest in an equity method investment. Our effective income tax rates vary from the U.S. federal statutory rate of 21% due to establishment, release, and adjustment of valuation allowances in several countries, nondeductible expenses and deemed income, local tax incentives in several countries outside the U.S., different statutory tax rates outside the U.S. and withholding taxes related to repatriations of international earnings. The effective income tax rate may vary significantly due to fluctuations in the amounts and sources, both foreign and domestic, of pretax income and changes in the amounts of non-deductible expenses.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Equity in earnings of affiliates</w:t>
      </w:r>
      <w:r>
        <w:rPr>
          <w:rFonts w:ascii="Times New Roman;Times;serif" w:hAnsi="Times New Roman;Times;serif"/>
          <w:sz w:val="20"/>
        </w:rPr>
        <w:t xml:space="preserve"> — Net earnings from equity investments was $11 in the first nine months of 2026 and $27 in the first nine months of 2025. Net earnings from Dongfeng Dana Axle Co., Ltd. (DDAC) were $9 in the first nine months of 2026 and $5 in the first nine months of 2025. On April 25, 2025, we sold our ownership interest in Axle India Limited, recognizing a $19 pre-tax gain on the transaction. See Note 18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Net income from discontinued operations</w:t>
      </w:r>
      <w:r>
        <w:rPr>
          <w:rFonts w:ascii="Times New Roman;Times;serif" w:hAnsi="Times New Roman;Times;serif"/>
          <w:sz w:val="20"/>
        </w:rPr>
        <w:t> — Net income from discontinued operations was $1,124 in the first nine months of 2026 and $164 in the first nine months of 2025. The Off-Highway business sale transaction closed on January 1, 2026, with a $1,224 pre-tax gain being recognized in net income from discontinued operations during the first nine months of 2026. The Off-Highway business's Mexican operations continue to be presented as discontinued operations, as those operations have not yet legally transferred to the buyer. See Note 2 of our consolidated financial statements in Item 1 of Part I for additional information.</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Results of Operations (2026 versus 2025)</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Light Vehicle</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329"/>
        <w:gridCol w:w="60"/>
        <w:gridCol w:w="125"/>
        <w:gridCol w:w="485"/>
        <w:gridCol w:w="60"/>
        <w:gridCol w:w="60"/>
        <w:gridCol w:w="376"/>
        <w:gridCol w:w="1010"/>
        <w:gridCol w:w="60"/>
        <w:gridCol w:w="60"/>
        <w:gridCol w:w="264"/>
        <w:gridCol w:w="1692"/>
        <w:gridCol w:w="185"/>
        <w:gridCol w:w="60"/>
        <w:gridCol w:w="125"/>
        <w:gridCol w:w="485"/>
        <w:gridCol w:w="60"/>
        <w:gridCol w:w="60"/>
        <w:gridCol w:w="376"/>
        <w:gridCol w:w="1010"/>
        <w:gridCol w:w="60"/>
        <w:gridCol w:w="60"/>
        <w:gridCol w:w="264"/>
        <w:gridCol w:w="1692"/>
        <w:gridCol w:w="187"/>
      </w:tblGrid>
      <w:tr>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2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87"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ind w:left="0" w:right="0" w:hanging="0"/>
              <w:jc w:val="left"/>
            </w:pPr>
            <w:r>
              <w:t> </w:t>
            </w:r>
          </w:p>
        </w:tc>
        <w:tc>
          <w:tcPr>
            <w:tcW w:w="1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ind w:left="0" w:right="0" w:hanging="0"/>
              <w:jc w:val="left"/>
            </w:pPr>
            <w:r>
              <w:t> </w:t>
            </w:r>
          </w:p>
        </w:tc>
        <w:tc>
          <w:tcPr>
            <w:tcW w:w="1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 and mix</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6"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4" w:type="dxa"/>
            <w:tcBorders/>
            <w:shd w:fill="FFFFFF" w:val="clear"/>
            <w:vAlign w:val="center"/>
          </w:tcPr>
          <w:p>
            <w:pPr>
              <w:pStyle w:val="TableContents"/>
              <w:bidi w:val="0"/>
              <w:spacing w:before="0" w:after="283"/>
              <w:jc w:val="left"/>
            </w:pPr>
            <w:r>
              <w:t> </w:t>
            </w:r>
          </w:p>
        </w:tc>
        <w:tc>
          <w:tcPr>
            <w:tcW w:w="169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6" w:type="dxa"/>
            <w:tcBorders/>
            <w:shd w:fill="FFFFFF" w:val="clear"/>
            <w:vAlign w:val="center"/>
          </w:tcPr>
          <w:p>
            <w:pPr>
              <w:pStyle w:val="TableContents"/>
              <w:bidi w:val="0"/>
              <w:spacing w:before="0" w:after="283"/>
              <w:ind w:left="0" w:right="0" w:hanging="0"/>
              <w:jc w:val="left"/>
            </w:pPr>
            <w: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4" w:type="dxa"/>
            <w:tcBorders/>
            <w:shd w:fill="FFFFFF" w:val="clear"/>
            <w:vAlign w:val="center"/>
          </w:tcPr>
          <w:p>
            <w:pPr>
              <w:pStyle w:val="TableContents"/>
              <w:bidi w:val="0"/>
              <w:spacing w:before="0" w:after="283"/>
              <w:jc w:val="left"/>
            </w:pPr>
            <w:r>
              <w:t> </w:t>
            </w:r>
          </w:p>
        </w:tc>
        <w:tc>
          <w:tcPr>
            <w:tcW w:w="1692" w:type="dxa"/>
            <w:tcBorders/>
            <w:shd w:fill="FFFFFF" w:val="clear"/>
            <w:vAlign w:val="center"/>
          </w:tcPr>
          <w:p>
            <w:pPr>
              <w:pStyle w:val="TableContents"/>
              <w:bidi w:val="0"/>
              <w:spacing w:before="0" w:after="283"/>
              <w:jc w:val="right"/>
            </w:pPr>
            <w:r>
              <w:t> </w:t>
            </w:r>
          </w:p>
        </w:tc>
        <w:tc>
          <w:tcPr>
            <w:tcW w:w="187" w:type="dxa"/>
            <w:tcBorders/>
            <w:shd w:fill="FFFFFF" w:val="clear"/>
            <w:vAlign w:val="center"/>
          </w:tcPr>
          <w:p>
            <w:pPr>
              <w:pStyle w:val="TableContents"/>
              <w:bidi w:val="0"/>
              <w:spacing w:before="0" w:after="283"/>
              <w:jc w:val="left"/>
            </w:pPr>
            <w:r>
              <w:t> </w:t>
            </w:r>
          </w:p>
        </w:tc>
      </w:tr>
      <w:tr>
        <w:tc>
          <w:tcPr>
            <w:tcW w:w="132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6"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jc w:val="left"/>
            </w:pPr>
            <w:r>
              <w:t> </w:t>
            </w:r>
          </w:p>
        </w:tc>
        <w:tc>
          <w:tcPr>
            <w:tcW w:w="1692"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76" w:type="dxa"/>
            <w:tcBorders/>
            <w:shd w:fill="CCEEFF" w:val="clear"/>
            <w:vAlign w:val="center"/>
          </w:tcPr>
          <w:p>
            <w:pPr>
              <w:pStyle w:val="TableContents"/>
              <w:bidi w:val="0"/>
              <w:spacing w:before="0" w:after="283"/>
              <w:ind w:left="0" w:right="0" w:hanging="0"/>
              <w:jc w:val="left"/>
            </w:pPr>
            <w: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jc w:val="left"/>
            </w:pPr>
            <w:r>
              <w:t> </w:t>
            </w:r>
          </w:p>
        </w:tc>
        <w:tc>
          <w:tcPr>
            <w:tcW w:w="1692" w:type="dxa"/>
            <w:tcBorders/>
            <w:shd w:fill="CCEEFF" w:val="clear"/>
            <w:vAlign w:val="center"/>
          </w:tcPr>
          <w:p>
            <w:pPr>
              <w:pStyle w:val="TableContents"/>
              <w:bidi w:val="0"/>
              <w:spacing w:before="0" w:after="283"/>
              <w:jc w:val="right"/>
            </w:pPr>
            <w:r>
              <w:t> </w:t>
            </w:r>
          </w:p>
        </w:tc>
        <w:tc>
          <w:tcPr>
            <w:tcW w:w="187" w:type="dxa"/>
            <w:tcBorders/>
            <w:shd w:fill="CCEEFF" w:val="clear"/>
            <w:vAlign w:val="center"/>
          </w:tcPr>
          <w:p>
            <w:pPr>
              <w:pStyle w:val="TableContents"/>
              <w:bidi w:val="0"/>
              <w:spacing w:before="0" w:after="283"/>
              <w:jc w:val="left"/>
            </w:pPr>
            <w:r>
              <w:t> </w:t>
            </w:r>
          </w:p>
        </w:tc>
      </w:tr>
      <w:tr>
        <w:tc>
          <w:tcPr>
            <w:tcW w:w="132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4" w:type="dxa"/>
            <w:tcBorders/>
            <w:shd w:fill="FFFFFF" w:val="clear"/>
            <w:vAlign w:val="center"/>
          </w:tcPr>
          <w:p>
            <w:pPr>
              <w:pStyle w:val="TableContents"/>
              <w:bidi w:val="0"/>
              <w:spacing w:before="0" w:after="283"/>
              <w:jc w:val="left"/>
            </w:pPr>
            <w:r>
              <w:t> </w:t>
            </w:r>
          </w:p>
        </w:tc>
        <w:tc>
          <w:tcPr>
            <w:tcW w:w="1692"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4" w:type="dxa"/>
            <w:tcBorders/>
            <w:shd w:fill="FFFFFF" w:val="clear"/>
            <w:vAlign w:val="center"/>
          </w:tcPr>
          <w:p>
            <w:pPr>
              <w:pStyle w:val="TableContents"/>
              <w:bidi w:val="0"/>
              <w:spacing w:before="0" w:after="283"/>
              <w:jc w:val="left"/>
            </w:pPr>
            <w:r>
              <w:t> </w:t>
            </w:r>
          </w:p>
        </w:tc>
        <w:tc>
          <w:tcPr>
            <w:tcW w:w="1692" w:type="dxa"/>
            <w:tcBorders/>
            <w:shd w:fill="FFFFFF" w:val="clear"/>
            <w:vAlign w:val="center"/>
          </w:tcPr>
          <w:p>
            <w:pPr>
              <w:pStyle w:val="TableContents"/>
              <w:bidi w:val="0"/>
              <w:spacing w:before="0" w:after="283"/>
              <w:jc w:val="right"/>
            </w:pPr>
            <w:r>
              <w:t> </w:t>
            </w:r>
          </w:p>
        </w:tc>
        <w:tc>
          <w:tcPr>
            <w:tcW w:w="187" w:type="dxa"/>
            <w:tcBorders/>
            <w:shd w:fill="FFFFFF" w:val="clear"/>
            <w:vAlign w:val="center"/>
          </w:tcPr>
          <w:p>
            <w:pPr>
              <w:pStyle w:val="TableContents"/>
              <w:bidi w:val="0"/>
              <w:spacing w:before="0" w:after="283"/>
              <w:jc w:val="left"/>
            </w:pPr>
            <w:r>
              <w:t> </w:t>
            </w:r>
          </w:p>
        </w:tc>
      </w:tr>
      <w:tr>
        <w:tc>
          <w:tcPr>
            <w:tcW w:w="132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ind w:left="0" w:right="0" w:hanging="0"/>
              <w:jc w:val="left"/>
            </w:pPr>
            <w:r>
              <w:t> </w:t>
            </w:r>
          </w:p>
        </w:tc>
        <w:tc>
          <w:tcPr>
            <w:tcW w:w="1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bottom w:val="double" w:sz="6" w:space="0" w:color="000000"/>
            </w:tcBorders>
            <w:shd w:fill="CCEEFF" w:val="clear"/>
            <w:tcMar>
              <w:bottom w:w="45"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64" w:type="dxa"/>
            <w:tcBorders/>
            <w:shd w:fill="CCEEFF" w:val="clear"/>
            <w:vAlign w:val="center"/>
          </w:tcPr>
          <w:p>
            <w:pPr>
              <w:pStyle w:val="TableContents"/>
              <w:bidi w:val="0"/>
              <w:spacing w:before="0" w:after="283"/>
              <w:ind w:left="0" w:right="0" w:hanging="0"/>
              <w:jc w:val="left"/>
            </w:pPr>
            <w:r>
              <w:t> </w:t>
            </w:r>
          </w:p>
        </w:tc>
        <w:tc>
          <w:tcPr>
            <w:tcW w:w="1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 sales in the third quarter of 2026, exclusive of currency effects, were 1% higher than 2025 reflecting the benefit of net customer pricing and cost and tariff recovery actions and the conversion of sales backlog partially offset by lower global electric-vehicle product orders. Year-over-year North America full-frame light-truck production increased 3% and light-truck production in Europe, South America and Asia Pacific increased 4%, 14% and 6%, respectively. Year-over-year light-vehicle engine production was flat in North America, South America and Asia Pacific, while light-vehicle engine production in Europe decreased 5%. Net customer pricing and cost and tariff recovery actions increased year-over-year third quarter sales by $5. Light Vehicle sales in the first nine months of 2026, exclusive of currency effects, were 2% higher than 2025 reflecting the benefit of net customer pricing and cost and tariff recovery actions and the conversion of sales backlog partially offset by lower global electric-vehicle product orders. Year-over-year North America full-frame light-truck production increased 6% and light-truck production in Europe, South America and Asia Pacific increased 5%, 14% and 7%, respectively. Year-over-year light-vehicle engine production was flat in North America, South America and Asia Pacific, while light-vehicle engine production in Europe decreased 3%. Net customer pricing and cost and tariff recovery actions increase year-over-year sales by $76 in this year's first nine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Light Vehicle third-quarter and first nine months segment EBITDA increased $25 and $100, respectively, from the comparable periods of 2025. Higher sales volumes, driven primarily by the conversion of sales backlog, increased third-quarter segment EBITDA by $6 (46% incremental margin). Favorable product mix, improved pricing on electric vehicle programs and higher sales volumes, driven by the conversion of sales backlog, increased first nine months segment EBITDA by $46. The year-over-year performance-related earnings increase in the third quarter of 2026 was driven by higher material cost savings of $16, net customer pricing and cost and tariff recovery actions of $5, lower premium freight costs of $4 and operational efficiencies, including lower corporate allocations resulting from cost reduction initiatives and cost recoveries associated with a terminated customer program of $51. Partially offsetting these performance-related earnings increases were inflationary cost increases of $21, commodity cost increases of $16, a union ratification bonus charge of $14 in 2026, higher tariff-related costs of $3, higher warranty expense of $2 and higher incentive compensation expense of $1. The year-over-year performance-related earnings increase for the first nine months of 2026 was driven by net customer pricing and cost and tariff recovery actions of $76, higher material cost savings of $46, lower premium freight costs of $17, higher savings from cost reduction initiatives of $8, lower incentive compensation expense of $2 and operational efficiencies, including lower corporate allocations resulting from costs reduction initiatives and cost recoveries associated with a terminated customer program of $66. Partially offsetting these performance-related earnings increases were inflationary cost increases of $60, higher tariff-related costs of $49, commodity cost increases of $33, a union ratification bonus charge of $14 in 2026, higher warranty expense of $5 and higher program launch costs of $1.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44" w:right="144" w:hanging="180"/>
        <w:jc w:val="left"/>
        <w:rPr>
          <w:rFonts w:ascii="Times New Roman;Times;serif" w:hAnsi="Times New Roman;Times;serif"/>
          <w:i/>
          <w:sz w:val="20"/>
        </w:rPr>
      </w:pPr>
      <w:r>
        <w:rPr>
          <w:rFonts w:ascii="Times New Roman;Times;serif" w:hAnsi="Times New Roman;Times;serif"/>
          <w:i/>
          <w:sz w:val="20"/>
        </w:rPr>
        <w:t>Commercial Vehicle</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340"/>
        <w:gridCol w:w="60"/>
        <w:gridCol w:w="125"/>
        <w:gridCol w:w="335"/>
        <w:gridCol w:w="60"/>
        <w:gridCol w:w="60"/>
        <w:gridCol w:w="495"/>
        <w:gridCol w:w="914"/>
        <w:gridCol w:w="60"/>
        <w:gridCol w:w="60"/>
        <w:gridCol w:w="270"/>
        <w:gridCol w:w="1731"/>
        <w:gridCol w:w="185"/>
        <w:gridCol w:w="60"/>
        <w:gridCol w:w="125"/>
        <w:gridCol w:w="485"/>
        <w:gridCol w:w="60"/>
        <w:gridCol w:w="60"/>
        <w:gridCol w:w="382"/>
        <w:gridCol w:w="1027"/>
        <w:gridCol w:w="60"/>
        <w:gridCol w:w="60"/>
        <w:gridCol w:w="270"/>
        <w:gridCol w:w="1731"/>
        <w:gridCol w:w="190"/>
      </w:tblGrid>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2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Segment EBITDA Margin</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ind w:left="0" w:right="0" w:hanging="0"/>
              <w:jc w:val="left"/>
            </w:pPr>
            <w:r>
              <w:t> </w:t>
            </w:r>
          </w:p>
        </w:tc>
        <w:tc>
          <w:tcPr>
            <w:tcW w:w="1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ind w:left="0" w:right="0" w:hanging="0"/>
              <w:jc w:val="left"/>
            </w:pPr>
            <w:r>
              <w:t> </w:t>
            </w:r>
          </w:p>
        </w:tc>
        <w:tc>
          <w:tcPr>
            <w:tcW w:w="1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3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 and mix</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95" w:type="dxa"/>
            <w:tcBorders/>
            <w:shd w:fill="FFFFFF" w:val="clear"/>
            <w:vAlign w:val="center"/>
          </w:tcPr>
          <w:p>
            <w:pPr>
              <w:pStyle w:val="TableContents"/>
              <w:bidi w:val="0"/>
              <w:spacing w:before="0" w:after="283"/>
              <w:ind w:left="0" w:right="0" w:hanging="0"/>
              <w:jc w:val="left"/>
            </w:pPr>
            <w:r>
              <w:t> </w:t>
            </w:r>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0" w:type="dxa"/>
            <w:tcBorders/>
            <w:shd w:fill="FFFFFF" w:val="clear"/>
            <w:vAlign w:val="center"/>
          </w:tcPr>
          <w:p>
            <w:pPr>
              <w:pStyle w:val="TableContents"/>
              <w:bidi w:val="0"/>
              <w:spacing w:before="0" w:after="283"/>
              <w:jc w:val="left"/>
            </w:pPr>
            <w:r>
              <w:t> </w:t>
            </w:r>
          </w:p>
        </w:tc>
        <w:tc>
          <w:tcPr>
            <w:tcW w:w="173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2" w:type="dxa"/>
            <w:tcBorders/>
            <w:shd w:fill="FFFFFF" w:val="clear"/>
            <w:vAlign w:val="center"/>
          </w:tcPr>
          <w:p>
            <w:pPr>
              <w:pStyle w:val="TableContents"/>
              <w:bidi w:val="0"/>
              <w:spacing w:before="0" w:after="283"/>
              <w:ind w:left="0" w:right="0" w:hanging="0"/>
              <w:jc w:val="left"/>
            </w:pPr>
            <w: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0" w:type="dxa"/>
            <w:tcBorders/>
            <w:shd w:fill="FFFFFF" w:val="clear"/>
            <w:vAlign w:val="center"/>
          </w:tcPr>
          <w:p>
            <w:pPr>
              <w:pStyle w:val="TableContents"/>
              <w:bidi w:val="0"/>
              <w:spacing w:before="0" w:after="283"/>
              <w:jc w:val="left"/>
            </w:pPr>
            <w:r>
              <w:t> </w:t>
            </w:r>
          </w:p>
        </w:tc>
        <w:tc>
          <w:tcPr>
            <w:tcW w:w="1731" w:type="dxa"/>
            <w:tcBorders/>
            <w:shd w:fill="FFFFFF" w:val="clear"/>
            <w:vAlign w:val="center"/>
          </w:tcPr>
          <w:p>
            <w:pPr>
              <w:pStyle w:val="TableContents"/>
              <w:bidi w:val="0"/>
              <w:spacing w:before="0" w:after="283"/>
              <w:jc w:val="right"/>
            </w:pPr>
            <w:r>
              <w:t> </w:t>
            </w:r>
          </w:p>
        </w:tc>
        <w:tc>
          <w:tcPr>
            <w:tcW w:w="190" w:type="dxa"/>
            <w:tcBorders/>
            <w:shd w:fill="FFFFFF" w:val="clear"/>
            <w:vAlign w:val="center"/>
          </w:tcPr>
          <w:p>
            <w:pPr>
              <w:pStyle w:val="TableContents"/>
              <w:bidi w:val="0"/>
              <w:spacing w:before="0" w:after="283"/>
              <w:jc w:val="left"/>
            </w:pPr>
            <w:r>
              <w:t> </w:t>
            </w:r>
          </w:p>
        </w:tc>
      </w:tr>
      <w:tr>
        <w:tc>
          <w:tcPr>
            <w:tcW w:w="13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495" w:type="dxa"/>
            <w:tcBorders/>
            <w:shd w:fill="CCEEFF" w:val="clear"/>
            <w:vAlign w:val="center"/>
          </w:tcPr>
          <w:p>
            <w:pPr>
              <w:pStyle w:val="TableContents"/>
              <w:bidi w:val="0"/>
              <w:spacing w:before="0" w:after="283"/>
              <w:jc w:val="left"/>
            </w:pPr>
            <w:r>
              <w:t> </w:t>
            </w:r>
          </w:p>
        </w:tc>
        <w:tc>
          <w:tcPr>
            <w:tcW w:w="914"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731"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382" w:type="dxa"/>
            <w:tcBorders/>
            <w:shd w:fill="CCEEFF" w:val="clear"/>
            <w:vAlign w:val="center"/>
          </w:tcPr>
          <w:p>
            <w:pPr>
              <w:pStyle w:val="TableContents"/>
              <w:bidi w:val="0"/>
              <w:spacing w:before="0" w:after="283"/>
              <w:jc w:val="left"/>
            </w:pPr>
            <w:r>
              <w:t> </w:t>
            </w:r>
          </w:p>
        </w:tc>
        <w:tc>
          <w:tcPr>
            <w:tcW w:w="10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jc w:val="left"/>
            </w:pPr>
            <w:r>
              <w:t> </w:t>
            </w:r>
          </w:p>
        </w:tc>
        <w:tc>
          <w:tcPr>
            <w:tcW w:w="1731" w:type="dxa"/>
            <w:tcBorders/>
            <w:shd w:fill="CCEEFF" w:val="clear"/>
            <w:vAlign w:val="center"/>
          </w:tcPr>
          <w:p>
            <w:pPr>
              <w:pStyle w:val="TableContents"/>
              <w:bidi w:val="0"/>
              <w:spacing w:before="0" w:after="283"/>
              <w:jc w:val="right"/>
            </w:pPr>
            <w:r>
              <w:t> </w:t>
            </w:r>
          </w:p>
        </w:tc>
        <w:tc>
          <w:tcPr>
            <w:tcW w:w="190" w:type="dxa"/>
            <w:tcBorders/>
            <w:shd w:fill="CCEEFF" w:val="clear"/>
            <w:vAlign w:val="center"/>
          </w:tcPr>
          <w:p>
            <w:pPr>
              <w:pStyle w:val="TableContents"/>
              <w:bidi w:val="0"/>
              <w:spacing w:before="0" w:after="283"/>
              <w:jc w:val="left"/>
            </w:pPr>
            <w:r>
              <w:t> </w:t>
            </w:r>
          </w:p>
        </w:tc>
      </w:tr>
      <w:tr>
        <w:tc>
          <w:tcPr>
            <w:tcW w:w="13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effects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4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0" w:type="dxa"/>
            <w:tcBorders/>
            <w:shd w:fill="FFFFFF" w:val="clear"/>
            <w:vAlign w:val="center"/>
          </w:tcPr>
          <w:p>
            <w:pPr>
              <w:pStyle w:val="TableContents"/>
              <w:bidi w:val="0"/>
              <w:spacing w:before="0" w:after="283"/>
              <w:jc w:val="left"/>
            </w:pPr>
            <w:r>
              <w:t> </w:t>
            </w:r>
          </w:p>
        </w:tc>
        <w:tc>
          <w:tcPr>
            <w:tcW w:w="1731"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70" w:type="dxa"/>
            <w:tcBorders/>
            <w:shd w:fill="FFFFFF" w:val="clear"/>
            <w:vAlign w:val="center"/>
          </w:tcPr>
          <w:p>
            <w:pPr>
              <w:pStyle w:val="TableContents"/>
              <w:bidi w:val="0"/>
              <w:spacing w:before="0" w:after="283"/>
              <w:jc w:val="left"/>
            </w:pPr>
            <w:r>
              <w:t> </w:t>
            </w:r>
          </w:p>
        </w:tc>
        <w:tc>
          <w:tcPr>
            <w:tcW w:w="1731" w:type="dxa"/>
            <w:tcBorders/>
            <w:shd w:fill="FFFFFF" w:val="clear"/>
            <w:vAlign w:val="center"/>
          </w:tcPr>
          <w:p>
            <w:pPr>
              <w:pStyle w:val="TableContents"/>
              <w:bidi w:val="0"/>
              <w:spacing w:before="0" w:after="283"/>
              <w:jc w:val="right"/>
            </w:pPr>
            <w:r>
              <w:t> </w:t>
            </w:r>
          </w:p>
        </w:tc>
        <w:tc>
          <w:tcPr>
            <w:tcW w:w="190" w:type="dxa"/>
            <w:tcBorders/>
            <w:shd w:fill="FFFFFF" w:val="clear"/>
            <w:vAlign w:val="center"/>
          </w:tcPr>
          <w:p>
            <w:pPr>
              <w:pStyle w:val="TableContents"/>
              <w:bidi w:val="0"/>
              <w:spacing w:before="0" w:after="283"/>
              <w:jc w:val="left"/>
            </w:pPr>
            <w:r>
              <w:t> </w:t>
            </w:r>
          </w:p>
        </w:tc>
      </w:tr>
      <w:t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4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ind w:left="0" w:right="0" w:hanging="0"/>
              <w:jc w:val="left"/>
            </w:pPr>
            <w:r>
              <w:t> </w:t>
            </w:r>
          </w:p>
        </w:tc>
        <w:tc>
          <w:tcPr>
            <w:tcW w:w="1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70" w:type="dxa"/>
            <w:tcBorders/>
            <w:shd w:fill="CCEEFF" w:val="clear"/>
            <w:vAlign w:val="center"/>
          </w:tcPr>
          <w:p>
            <w:pPr>
              <w:pStyle w:val="TableContents"/>
              <w:bidi w:val="0"/>
              <w:spacing w:before="0" w:after="283"/>
              <w:ind w:left="0" w:right="0" w:hanging="0"/>
              <w:jc w:val="left"/>
            </w:pPr>
            <w:r>
              <w:t> </w:t>
            </w:r>
          </w:p>
        </w:tc>
        <w:tc>
          <w:tcPr>
            <w:tcW w:w="1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in the third quarter of 2026, exclusive of currency effects, were 17% higher than 2025 reflecting overall stronger global markets, the conversion of sales backlog and net customer pricing and cost and tariff recovery actions. Year-over-year Class 8 production in North America was up 32% while Classes 5-7 was down 2%. Year-over-year medium/heavy-truck production in Europe, South America and Asia Pacific were up 31%, 9% and 9%, respectively. Net customer pricing and cost and tariff recovery actions increased year-over-year sales by $24 in this year's third quarter. Commercial Vehicle sales in the first nine months of 2026, exclusive of currency effects, were 6% higher than 2025 reflecting a stronger Asia Pacific market, the conversion of sales backlog and net customer pricing and cost and tariff recovery actions, partially offset by a weakening North America market. Year-over-year Class 8 production in North America was down 3% while Classes 5-7 was down 7% in this year's first nine months. Year-over-year medium/heavy-truck production in Europe and Asia Pacific were up 18% and 14%, respectively, while medium/heavy-truck production in South America was down 3%. Net customer pricing and cost and tariff recovery actions increased year-over-year sales by $54 in this year's first nine months.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third-quarter and first nine months segment EBITDA increased $18 and $61, respectively, from the comparable periods of 2025. Higher sales volumes increased year-over-year third quarter segment EBITDA by $18 (24% incremental margin). The impact of higher sales volumes was partially offset by unfavorable product mix, increasing year-over-year first nine months segment EBITDA by $7 (13% incremental margin). The year-over-year performance-related earnings increase in the third quarter of 2026 was driven by net customer pricing and cost and tariff recovery actions of $24, higher material cost savings of $6, lower program launch costs of $1 and operational efficiencies, including lower corporate allocations resulting from cost reduction initiatives of $6. Offsetting these performance-related earnings increases were higher tariff-related costs of $12, inflationary cost increases of $10, higher warranty expense of $8, a union ratification bonus charge of $2 in 2026, higher incentive compensation expense of $2, lower year-over-year savings from cost reduction initiatives of $2 and commodity cost increases of $1. The year-over-year performance-related earnings increase for the first nine months of 2026 was driven by net customer pricing and cost and tariff recovery actions of $54, higher material costs savings of $23, higher savings from cost reduction initiatives of $4, lower program launch costs of $2 and operational efficiencies, including lower corporate allocations resulting from cost reduction initiatives of $32. Partially offsetting these performance-related earnings increases were inflationary cost increases of $19, higher tariff-related costs of $16, higher spending on electrification initiatives of $13, higher warranty expense of $8, commodity cost increases of $7, a union ratification bonus charge of $2 in 2026, higher premium freight costs of $1 and higher incentive compensation expense of $1.</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defined adjusted EBITDA as net income (loss) from continuing operations before interest, income taxes, depreciation, amortization, equity grant expense, restructuring expense, non-service cost components of pension and other postretirement benefits (OPEB)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Adjusted EBITDA should not be considered a substitute for earnings (loss) before income taxes, net income (loss) or other results reported in accordance with GAAP. Adjusted EBITDA may not be comparable to similarly titled measures reported by other companies.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net income (loss) from continuing operations to adjusted EBITDA.</w:t>
      </w:r>
    </w:p>
    <w:p>
      <w:pPr>
        <w:pStyle w:val="TextBody"/>
        <w:bidi w:val="0"/>
        <w:spacing w:before="0" w:after="0"/>
        <w:ind w:left="0" w:right="0" w:hanging="0"/>
        <w:jc w:val="left"/>
      </w:pPr>
      <w:r>
        <w:t> </w:t>
      </w:r>
    </w:p>
    <w:tbl>
      <w:tblPr>
        <w:tblW w:w="8810" w:type="dxa"/>
        <w:jc w:val="left"/>
        <w:tblInd w:w="0" w:type="dxa"/>
        <w:tblLayout w:type="fixed"/>
        <w:tblCellMar>
          <w:top w:w="0" w:type="dxa"/>
          <w:left w:w="0" w:type="dxa"/>
          <w:bottom w:w="0" w:type="dxa"/>
          <w:right w:w="0" w:type="dxa"/>
        </w:tblCellMar>
      </w:tblPr>
      <w:tblGrid>
        <w:gridCol w:w="5150"/>
        <w:gridCol w:w="60"/>
        <w:gridCol w:w="204"/>
        <w:gridCol w:w="546"/>
        <w:gridCol w:w="130"/>
        <w:gridCol w:w="97"/>
        <w:gridCol w:w="204"/>
        <w:gridCol w:w="546"/>
        <w:gridCol w:w="80"/>
        <w:gridCol w:w="60"/>
        <w:gridCol w:w="195"/>
        <w:gridCol w:w="523"/>
        <w:gridCol w:w="124"/>
        <w:gridCol w:w="93"/>
        <w:gridCol w:w="195"/>
        <w:gridCol w:w="523"/>
        <w:gridCol w:w="80"/>
      </w:tblGrid>
      <w:tr>
        <w:tc>
          <w:tcPr>
            <w:tcW w:w="51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51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from continuing operations</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pPr>
            <w: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earnings of affiliates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pPr>
            <w:r>
              <w:t> </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130"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24" w:type="dxa"/>
            <w:tcBorders>
              <w:bottom w:val="single" w:sz="2" w:space="0" w:color="000000"/>
            </w:tcBorders>
            <w:shd w:fill="CCEEFF" w:val="clear"/>
            <w:tcMar>
              <w:bottom w:w="28" w:type="dxa"/>
            </w:tcMar>
            <w:vAlign w:val="center"/>
          </w:tcPr>
          <w:p>
            <w:pPr>
              <w:pStyle w:val="TableContents"/>
              <w:bidi w:val="0"/>
              <w:spacing w:before="0" w:after="0"/>
              <w:jc w:val="left"/>
            </w:pPr>
            <w:r>
              <w:t> </w:t>
            </w:r>
          </w:p>
        </w:tc>
        <w:tc>
          <w:tcPr>
            <w:tcW w:w="93" w:type="dxa"/>
            <w:tcBorders/>
            <w:shd w:fill="CCEEFF" w:val="clear"/>
            <w:vAlign w:val="center"/>
          </w:tcPr>
          <w:p>
            <w:pPr>
              <w:pStyle w:val="TableContents"/>
              <w:bidi w:val="0"/>
              <w:spacing w:before="0" w:after="283"/>
              <w:ind w:left="0" w:right="0" w:hanging="0"/>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(loss) from continuing operations before income taxes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CCEEFF" w:val="clear"/>
            <w:vAlign w:val="center"/>
          </w:tcPr>
          <w:p>
            <w:pPr>
              <w:pStyle w:val="TableContents"/>
              <w:bidi w:val="0"/>
              <w:spacing w:before="0" w:after="283"/>
              <w:ind w:left="0" w:right="0" w:hanging="0"/>
              <w:jc w:val="left"/>
            </w:pPr>
            <w:r>
              <w:t> </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net</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ind w:left="0" w:right="0" w:hanging="0"/>
              <w:jc w:val="left"/>
            </w:pPr>
            <w:r>
              <w:t> </w:t>
            </w:r>
          </w:p>
        </w:tc>
        <w:tc>
          <w:tcPr>
            <w:tcW w:w="5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ind w:left="0" w:right="0" w:hanging="0"/>
              <w:jc w:val="left"/>
            </w:pPr>
            <w:r>
              <w:t> </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283"/>
              <w:jc w:val="left"/>
            </w:pPr>
            <w:r>
              <w:t> </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divestiture of ownership interests</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right"/>
            </w:pPr>
            <w:r>
              <w:t> </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5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24"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5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pPr>
            <w:r>
              <w:t> </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Electric vehicle program termination charges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ind w:left="0" w:right="0" w:hanging="0"/>
              <w:jc w:val="left"/>
            </w:pPr>
            <w:r>
              <w:t> </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(gain) loss on unhedged intercompany loans</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ind w:left="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pPr>
            <w:r>
              <w:t> </w:t>
            </w:r>
          </w:p>
        </w:tc>
        <w:tc>
          <w:tcPr>
            <w:tcW w:w="195" w:type="dxa"/>
            <w:tcBorders/>
            <w:shd w:fill="CCEEFF" w:val="clear"/>
            <w:vAlign w:val="center"/>
          </w:tcPr>
          <w:p>
            <w:pPr>
              <w:pStyle w:val="TableContents"/>
              <w:bidi w:val="0"/>
              <w:spacing w:before="0" w:after="283"/>
              <w:jc w:val="left"/>
            </w:pPr>
            <w:r>
              <w:t> </w:t>
            </w:r>
          </w:p>
        </w:tc>
        <w:tc>
          <w:tcPr>
            <w:tcW w:w="523"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capacity charge adjustment</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pPr>
            <w:r>
              <w:t> </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pPr>
            <w:r>
              <w:t> </w:t>
            </w:r>
          </w:p>
        </w:tc>
        <w:tc>
          <w:tcPr>
            <w:tcW w:w="124" w:type="dxa"/>
            <w:tcBorders/>
            <w:shd w:fill="FFFFFF" w:val="cle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jc w:val="left"/>
            </w:pPr>
            <w:r>
              <w:t> </w:t>
            </w:r>
          </w:p>
        </w:tc>
        <w:tc>
          <w:tcPr>
            <w:tcW w:w="195" w:type="dxa"/>
            <w:tcBorders/>
            <w:shd w:fill="FFFFFF" w:val="clear"/>
            <w:vAlign w:val="center"/>
          </w:tcPr>
          <w:p>
            <w:pPr>
              <w:pStyle w:val="TableContents"/>
              <w:bidi w:val="0"/>
              <w:spacing w:before="0" w:after="283"/>
              <w:jc w:val="left"/>
            </w:pPr>
            <w:r>
              <w:t> </w:t>
            </w:r>
          </w:p>
        </w:tc>
        <w:tc>
          <w:tcPr>
            <w:tcW w:w="5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5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2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r>
      <w:tr>
        <w:tc>
          <w:tcPr>
            <w:tcW w:w="51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3" w:type="dxa"/>
            <w:tcBorders/>
            <w:shd w:fill="FFFFFF" w:val="clear"/>
            <w:vAlign w:val="center"/>
          </w:tcPr>
          <w:p>
            <w:pPr>
              <w:pStyle w:val="TableContents"/>
              <w:bidi w:val="0"/>
              <w:spacing w:before="0" w:after="283"/>
              <w:ind w:left="0" w:right="0" w:hanging="0"/>
              <w:jc w:val="left"/>
            </w:pPr>
            <w: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c>
          <w:tcPr>
            <w:tcW w:w="110" w:type="dxa"/>
            <w:tcBorders/>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1009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Other includes stock compensation expense, non-service cost components of pension and OPEB costs, strategic transaction expenses and other items. See Note 17 to our consolidated financial statements in Item 1 of Part I for additional information.</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Free Cash Flow</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defined adjusted free cash flow as cash provided by (used in) operating activities less purchases of property, plant and equipment plus proceeds from sale of property, plant and equipment plus cash paid for purchases of leased facilities plus cash paid for Off-Highway business divestiture and Eaton Mobility business acquisition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operating activities reported in accordance with GAAP. Adjusted free cash flow may not be comparable to similarly titled measures reported by other companies.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reconciles net cash flows provided by (used in) operating activities to adjusted free cash flow.</w:t>
      </w:r>
    </w:p>
    <w:p>
      <w:pPr>
        <w:pStyle w:val="TextBody"/>
        <w:bidi w:val="0"/>
        <w:spacing w:before="0" w:after="0"/>
        <w:ind w:left="0" w:right="0" w:hanging="0"/>
        <w:jc w:val="left"/>
      </w:pPr>
      <w:r>
        <w:t> </w:t>
      </w:r>
    </w:p>
    <w:tbl>
      <w:tblPr>
        <w:tblW w:w="9891" w:type="dxa"/>
        <w:jc w:val="left"/>
        <w:tblInd w:w="0" w:type="dxa"/>
        <w:tblLayout w:type="fixed"/>
        <w:tblCellMar>
          <w:top w:w="0" w:type="dxa"/>
          <w:left w:w="0" w:type="dxa"/>
          <w:bottom w:w="0" w:type="dxa"/>
          <w:right w:w="0" w:type="dxa"/>
        </w:tblCellMar>
      </w:tblPr>
      <w:tblGrid>
        <w:gridCol w:w="6230"/>
        <w:gridCol w:w="60"/>
        <w:gridCol w:w="204"/>
        <w:gridCol w:w="546"/>
        <w:gridCol w:w="130"/>
        <w:gridCol w:w="97"/>
        <w:gridCol w:w="204"/>
        <w:gridCol w:w="546"/>
        <w:gridCol w:w="80"/>
        <w:gridCol w:w="60"/>
        <w:gridCol w:w="175"/>
        <w:gridCol w:w="554"/>
        <w:gridCol w:w="112"/>
        <w:gridCol w:w="84"/>
        <w:gridCol w:w="175"/>
        <w:gridCol w:w="554"/>
        <w:gridCol w:w="80"/>
      </w:tblGrid>
      <w:tr>
        <w:tc>
          <w:tcPr>
            <w:tcW w:w="6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80" w:type="dxa"/>
            <w:tcBorders/>
            <w:shd w:fill="FFFFFF" w:val="clear"/>
            <w:vAlign w:val="center"/>
          </w:tcPr>
          <w:p>
            <w:pPr>
              <w:pStyle w:val="TableContents"/>
              <w:bidi w:val="0"/>
              <w:spacing w:before="0" w:after="283"/>
              <w:jc w:val="left"/>
            </w:pPr>
            <w:r>
              <w:t> </w:t>
            </w:r>
          </w:p>
        </w:tc>
      </w:tr>
      <w:tr>
        <w:tc>
          <w:tcPr>
            <w:tcW w:w="6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2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ind w:left="0" w:right="0" w:hanging="0"/>
              <w:jc w:val="left"/>
            </w:pPr>
            <w: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ind w:left="0" w:right="0" w:hanging="0"/>
              <w:jc w:val="left"/>
            </w:pPr>
            <w:r>
              <w:t> </w:t>
            </w:r>
          </w:p>
        </w:tc>
      </w:tr>
      <w:t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 Continuing operations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ind w:left="0" w:right="0" w:hanging="0"/>
              <w:jc w:val="left"/>
            </w:pPr>
            <w: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ind w:left="0" w:right="0" w:hanging="0"/>
              <w:jc w:val="left"/>
            </w:pPr>
            <w: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 Discontinued operations</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ind w:left="0" w:right="0" w:hanging="0"/>
              <w:jc w:val="left"/>
            </w:pPr>
            <w: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ind w:left="0" w:right="0" w:hanging="0"/>
              <w:jc w:val="left"/>
            </w:pPr>
            <w: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plant and equipment - Continuing operations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pPr>
            <w:r>
              <w:t> </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5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5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pPr>
            <w:r>
              <w:t> </w:t>
            </w:r>
          </w:p>
        </w:tc>
      </w:tr>
      <w:tr>
        <w:tc>
          <w:tcPr>
            <w:tcW w:w="62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purchase of leased facilities</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right"/>
            </w:pPr>
            <w:r>
              <w:t> </w:t>
            </w:r>
          </w:p>
        </w:tc>
        <w:tc>
          <w:tcPr>
            <w:tcW w:w="13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c>
          <w:tcPr>
            <w:tcW w:w="546"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5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5" w:type="dxa"/>
            <w:tcBorders/>
            <w:shd w:fill="CCEEFF" w:val="clear"/>
            <w:vAlign w:val="center"/>
          </w:tcPr>
          <w:p>
            <w:pPr>
              <w:pStyle w:val="TableContents"/>
              <w:bidi w:val="0"/>
              <w:spacing w:before="0" w:after="283"/>
              <w:jc w:val="left"/>
            </w:pPr>
            <w:r>
              <w:t> </w:t>
            </w:r>
          </w:p>
        </w:tc>
        <w:tc>
          <w:tcPr>
            <w:tcW w:w="554" w:type="dxa"/>
            <w:tcBorders/>
            <w:shd w:fill="CCEEFF" w:val="clear"/>
            <w:vAlign w:val="center"/>
          </w:tcPr>
          <w:p>
            <w:pPr>
              <w:pStyle w:val="TableContents"/>
              <w:bidi w:val="0"/>
              <w:spacing w:before="0" w:after="283"/>
              <w:jc w:val="right"/>
            </w:pPr>
            <w:r>
              <w:t> </w:t>
            </w:r>
          </w:p>
        </w:tc>
        <w:tc>
          <w:tcPr>
            <w:tcW w:w="80" w:type="dxa"/>
            <w:tcBorders/>
            <w:shd w:fill="CCEEFF" w:val="clear"/>
            <w:vAlign w:val="center"/>
          </w:tcPr>
          <w:p>
            <w:pPr>
              <w:pStyle w:val="TableContents"/>
              <w:bidi w:val="0"/>
              <w:spacing w:before="0" w:after="283"/>
              <w:ind w:left="0" w:right="0" w:hanging="0"/>
              <w:jc w:val="left"/>
            </w:pPr>
            <w:r>
              <w:t> </w:t>
            </w:r>
          </w:p>
        </w:tc>
      </w:tr>
      <w:t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purchase of electrical capacity demand rights</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5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30"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c>
          <w:tcPr>
            <w:tcW w:w="546"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ind w:left="0" w:right="0" w:hanging="0"/>
              <w:jc w:val="left"/>
            </w:pPr>
            <w: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5" w:type="dxa"/>
            <w:tcBorders/>
            <w:shd w:fill="FFFFFF" w:val="clear"/>
            <w:vAlign w:val="center"/>
          </w:tcPr>
          <w:p>
            <w:pPr>
              <w:pStyle w:val="TableContents"/>
              <w:bidi w:val="0"/>
              <w:spacing w:before="0" w:after="283"/>
              <w:jc w:val="left"/>
            </w:pPr>
            <w:r>
              <w:t> </w:t>
            </w:r>
          </w:p>
        </w:tc>
        <w:tc>
          <w:tcPr>
            <w:tcW w:w="554"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r>
      <w:t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Off-Highway business divestiture related activities</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0"/>
              <w:ind w:left="0" w:right="0" w:hanging="0"/>
              <w:jc w:val="left"/>
            </w:pPr>
            <w:r>
              <w:t> </w:t>
            </w:r>
          </w:p>
        </w:tc>
        <w:tc>
          <w:tcPr>
            <w:tcW w:w="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30" w:type="dxa"/>
            <w:tcBorders/>
            <w:shd w:fill="CCEEFF" w:val="clear"/>
            <w:vAlign w:val="center"/>
          </w:tcPr>
          <w:p>
            <w:pPr>
              <w:pStyle w:val="TableContents"/>
              <w:bidi w:val="0"/>
              <w:spacing w:before="0" w:after="0"/>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0"/>
              <w:ind w:left="0" w:right="0" w:hanging="0"/>
              <w:jc w:val="left"/>
            </w:pPr>
            <w:r>
              <w:t> </w:t>
            </w:r>
          </w:p>
        </w:tc>
        <w:tc>
          <w:tcPr>
            <w:tcW w:w="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0"/>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5" w:type="dxa"/>
            <w:tcBorders/>
            <w:shd w:fill="CCEEFF" w:val="clear"/>
            <w:vAlign w:val="center"/>
          </w:tcPr>
          <w:p>
            <w:pPr>
              <w:pStyle w:val="TableContents"/>
              <w:bidi w:val="0"/>
              <w:spacing w:before="0" w:after="0"/>
              <w:ind w:left="0" w:right="0" w:hanging="0"/>
              <w:jc w:val="left"/>
            </w:pPr>
            <w:r>
              <w:t> </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12" w:type="dxa"/>
            <w:tcBorders/>
            <w:shd w:fill="CCEEFF" w:val="clear"/>
            <w:vAlign w:val="center"/>
          </w:tcPr>
          <w:p>
            <w:pPr>
              <w:pStyle w:val="TableContents"/>
              <w:bidi w:val="0"/>
              <w:spacing w:before="0" w:after="0"/>
              <w:jc w:val="left"/>
            </w:pPr>
            <w:r>
              <w:t> </w:t>
            </w:r>
          </w:p>
        </w:tc>
        <w:tc>
          <w:tcPr>
            <w:tcW w:w="84" w:type="dxa"/>
            <w:tcBorders/>
            <w:shd w:fill="CCEEFF" w:val="clear"/>
            <w:vAlign w:val="center"/>
          </w:tcPr>
          <w:p>
            <w:pPr>
              <w:pStyle w:val="TableContents"/>
              <w:bidi w:val="0"/>
              <w:spacing w:before="0" w:after="283"/>
              <w:ind w:left="0" w:right="0" w:hanging="0"/>
              <w:jc w:val="left"/>
            </w:pPr>
            <w:r>
              <w:t> </w:t>
            </w:r>
          </w:p>
        </w:tc>
        <w:tc>
          <w:tcPr>
            <w:tcW w:w="175" w:type="dxa"/>
            <w:tcBorders/>
            <w:shd w:fill="CCEEFF" w:val="clear"/>
            <w:vAlign w:val="center"/>
          </w:tcPr>
          <w:p>
            <w:pPr>
              <w:pStyle w:val="TableContents"/>
              <w:bidi w:val="0"/>
              <w:spacing w:before="0" w:after="0"/>
              <w:ind w:left="0" w:right="0" w:hanging="0"/>
              <w:jc w:val="left"/>
            </w:pPr>
            <w:r>
              <w:t> </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0"/>
              <w:jc w:val="left"/>
            </w:pPr>
            <w:r>
              <w:t> </w:t>
            </w:r>
          </w:p>
        </w:tc>
      </w:tr>
      <w:tr>
        <w:tc>
          <w:tcPr>
            <w:tcW w:w="6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Mobility business acquisition related activities</w:t>
            </w:r>
          </w:p>
        </w:tc>
        <w:tc>
          <w:tcPr>
            <w:tcW w:w="60" w:type="dxa"/>
            <w:tcBorders/>
            <w:shd w:fill="FFFF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3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 </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12" w:type="dxa"/>
            <w:tcBorders>
              <w:bottom w:val="single" w:sz="2" w:space="0" w:color="000000"/>
            </w:tcBorders>
            <w:shd w:fill="FFFFFF" w:val="clear"/>
            <w:tcMar>
              <w:bottom w:w="28" w:type="dxa"/>
            </w:tcMar>
            <w:vAlign w:val="center"/>
          </w:tcPr>
          <w:p>
            <w:pPr>
              <w:pStyle w:val="TableContents"/>
              <w:bidi w:val="0"/>
              <w:spacing w:before="0" w:after="0"/>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pPr>
            <w:r>
              <w:t> </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r>
      <w:tr>
        <w:tc>
          <w:tcPr>
            <w:tcW w:w="6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free cash flow</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0" w:right="0" w:hanging="0"/>
              <w:jc w:val="left"/>
            </w:pPr>
            <w: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pPr>
            <w: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to liquidity, a non-GAAP measure, at September 30, 2026:</w:t>
      </w:r>
    </w:p>
    <w:p>
      <w:pPr>
        <w:pStyle w:val="TextBody"/>
        <w:bidi w:val="0"/>
        <w:spacing w:before="0" w:after="0"/>
        <w:ind w:left="0" w:right="0" w:hanging="0"/>
        <w:jc w:val="left"/>
      </w:pPr>
      <w:r>
        <w:t> </w:t>
      </w:r>
    </w:p>
    <w:tbl>
      <w:tblPr>
        <w:tblW w:w="5040" w:type="dxa"/>
        <w:jc w:val="left"/>
        <w:tblInd w:w="0" w:type="dxa"/>
        <w:tblLayout w:type="fixed"/>
        <w:tblCellMar>
          <w:top w:w="0" w:type="dxa"/>
          <w:left w:w="0" w:type="dxa"/>
          <w:bottom w:w="0" w:type="dxa"/>
          <w:right w:w="0" w:type="dxa"/>
        </w:tblCellMar>
      </w:tblPr>
      <w:tblGrid>
        <w:gridCol w:w="4310"/>
        <w:gridCol w:w="60"/>
        <w:gridCol w:w="125"/>
        <w:gridCol w:w="485"/>
        <w:gridCol w:w="60"/>
      </w:tblGrid>
      <w:tr>
        <w:tc>
          <w:tcPr>
            <w:tcW w:w="4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ind w:left="0" w:right="0" w:hanging="0"/>
              <w:jc w:val="left"/>
            </w:pPr>
            <w:r>
              <w:t> </w:t>
            </w:r>
          </w:p>
        </w:tc>
      </w:tr>
      <w:tr>
        <w:tc>
          <w:tcPr>
            <w:tcW w:w="4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cash availability from Revolving Facility</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4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liquidity</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availability of $930 at September 30, 2026 under our Revolving Facility after deducting $210 of outstanding borrowings and $10 of outstanding letters of credit.</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components of our September 30, 2026 consolidated cash balance were as follows:</w:t>
      </w:r>
    </w:p>
    <w:p>
      <w:pPr>
        <w:pStyle w:val="TextBody"/>
        <w:bidi w:val="0"/>
        <w:spacing w:before="0" w:after="0"/>
        <w:ind w:left="0" w:right="0" w:hanging="0"/>
        <w:jc w:val="left"/>
      </w:pPr>
      <w:r>
        <w:t> </w:t>
      </w:r>
    </w:p>
    <w:tbl>
      <w:tblPr>
        <w:tblW w:w="7695" w:type="dxa"/>
        <w:jc w:val="left"/>
        <w:tblInd w:w="0" w:type="dxa"/>
        <w:tblLayout w:type="fixed"/>
        <w:tblCellMar>
          <w:top w:w="0" w:type="dxa"/>
          <w:left w:w="0" w:type="dxa"/>
          <w:bottom w:w="0" w:type="dxa"/>
          <w:right w:w="0" w:type="dxa"/>
        </w:tblCellMar>
      </w:tblPr>
      <w:tblGrid>
        <w:gridCol w:w="5735"/>
        <w:gridCol w:w="60"/>
        <w:gridCol w:w="125"/>
        <w:gridCol w:w="260"/>
        <w:gridCol w:w="60"/>
        <w:gridCol w:w="60"/>
        <w:gridCol w:w="205"/>
        <w:gridCol w:w="550"/>
        <w:gridCol w:w="60"/>
        <w:gridCol w:w="60"/>
        <w:gridCol w:w="125"/>
        <w:gridCol w:w="335"/>
        <w:gridCol w:w="60"/>
      </w:tblGrid>
      <w:tr>
        <w:tc>
          <w:tcPr>
            <w:tcW w:w="573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Non-U.S.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w:t>
            </w:r>
          </w:p>
        </w:tc>
        <w:tc>
          <w:tcPr>
            <w:tcW w:w="60" w:type="dxa"/>
            <w:tcBorders/>
            <w:shd w:fill="CCEEFF" w:val="clear"/>
            <w:vAlign w:val="center"/>
          </w:tcPr>
          <w:p>
            <w:pPr>
              <w:pStyle w:val="TableContents"/>
              <w:bidi w:val="0"/>
              <w:spacing w:before="0" w:after="283"/>
              <w:ind w:left="0" w:right="0" w:hanging="0"/>
              <w:jc w:val="left"/>
            </w:pPr>
            <w:r>
              <w:t> </w:t>
            </w:r>
          </w:p>
        </w:tc>
      </w:tr>
      <w:tr>
        <w:tc>
          <w:tcPr>
            <w:tcW w:w="57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held at less than wholly-owned subsidiaries</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2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5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60" w:type="dxa"/>
            <w:tcBorders/>
            <w:shd w:fill="FFFFFF" w:val="clear"/>
            <w:vAlign w:val="center"/>
          </w:tcPr>
          <w:p>
            <w:pPr>
              <w:pStyle w:val="TableContents"/>
              <w:bidi w:val="0"/>
              <w:spacing w:before="0" w:after="0"/>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pPr>
            <w:r>
              <w:t> </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pPr>
            <w:r>
              <w:t> </w:t>
            </w:r>
          </w:p>
        </w:tc>
      </w:tr>
      <w:tr>
        <w:tc>
          <w:tcPr>
            <w:tcW w:w="57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cash balance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portion of the non-U.S. cash and cash equivalents is utilized for working capital and other operating purposes. Several countries have local regulatory requirements that restrict the ability of our operations to repatriate this cash. Beyond these restrictions, there are practical limitations on repatriation of cash from certain subsidiaries because of the resulting tax withholdings and subsidiary by-law restrictions which could limit our ability to access cash and other assets.</w:t>
      </w:r>
    </w:p>
    <w:p>
      <w:pPr>
        <w:pStyle w:val="TextBody"/>
        <w:bidi w:val="0"/>
        <w:spacing w:before="0" w:after="0"/>
        <w:ind w:left="0" w:right="0" w:firstLine="36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At September 30, 2026, we were in compliance with the covenants of our financing agreements. Under the Revolving Facility and our senior notes, we are required to comply with certain incurrence-based covenants customary for facilities of these types. The incurrence-based covenants in the Revolving Facility permit us to, among other things, (i) issue foreign subsidiary indebtedness, (ii) incur general secured indebtedness subject to a pro forma first lien net leverage ratio not to exceed 1.50:1.00 in the case of first lien debt and a pro forma secured net leverage ratio of 2.50:1.00 in the case of other secured debt and (iii) incur additional unsecured debt subject to a pro forma total net leverage ratio not to exceed 3.50:1.00, tested at the time of incurrence. We may also make dividend payments in respect of our common stock as well as certain investments and acquisitions subject to a pro forma total net leverage ratio of 2.75:1.00. In addition, the Revolving Facility is subject to a financial covenant requiring us to maintain a first lien net leverage ratio not to exceed 2.00:1.00. The indentures governing the senior notes include other incurrence-based covenants that may subject us to additional specified limitations.</w:t>
      </w:r>
    </w:p>
    <w:p>
      <w:pPr>
        <w:pStyle w:val="TextBody"/>
        <w:bidi w:val="0"/>
        <w:spacing w:before="0" w:after="0"/>
        <w:ind w:left="0" w:right="0" w:firstLine="36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depending upon market, pricing and other conditions, as well as our cash balances and liquidity, we may seek to acquire our senior notes or other indebtedness through open market purchases, privately negotiated transactions, tender offers, exchange offers or otherwise, upon such terms and at such prices as we may determine (or as may be provided for in the indentures governing the notes), for cash, securities or other consideration. In addition, we may enter into sale-leaseback transactions related to certain of our real estate holdings and factor receivables. There can be no assurance that we will pursue any such transactions in the future, as the pursuit of any alternative will depend upon numerous factors such as market conditions, our financial performance and the limitations applicable to such transactions under our financing and governance documents.</w:t>
      </w:r>
    </w:p>
    <w:p>
      <w:pPr>
        <w:pStyle w:val="TextBody"/>
        <w:bidi w:val="0"/>
        <w:spacing w:before="0" w:after="0"/>
        <w:ind w:left="0" w:right="0" w:firstLine="36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July 10, 2026, we amended our credit and guaranty agreement to include a $500 Term A Facility (the 2026 Term A Facility). Borrowings under the 2026 Term A Facility bear interest at a floating rate based on Term Secured Overnight Financing Rate (SOFR) (as described in the credit agreement) plus a margin. The 2026 Term A Facility matures 364 days from the date of the first draw. We are required to make quarterly installments on the 2026 Term A Facility on the last day of each quarter commencing on December 31, 2026 in an amount equal to 10% of the original amount borrowed adjusted for any prepayments. On July 28, 2026, we fully drew the 2026 Term A Facility. On July 31, 2026, we redeemed all of our outstanding July 2031 Notes at a price equal to 104.25% plus accrued and unpaid interest. See Note 10 of our consolidated financial statements in Item 1 of Part I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10, 2026, we became a party to a $2,600 bridge facility (the Bridge Facility). The Bridge Facility serves as a backstop to certain contemplated financing transactions associated with Dana's intended acquisition of Eaton's Mobility business. See Note 1 of our consolidated financial statements in Item 1 of Part I for additional information. The Bridge Facility may be drawn upon only if the acquisition transaction closes. Availability under the Bridge Facility is subject to reduction to the extent contemplated financing transactions are completed prior to the acquisition transaction closing. On July 2, 2026, we became a party to a $350 secured term loan A (the Term Loan A) commitment and a $1,200 secured revolving credit facility (the Revolving Credit Facility) commitment. The Term Loan A commitment and the Revolving Credit Facility commitment are associated with Dana's intended acquisition of Eaton's Mobility business. No amounts are available to be drawn under the Term Loan A or Revolving Credit Facility prior to the acquisition transaction closing. The Term Loan A commitment reduced availability under the Bridge Facility from $2,600 to $2,250. See Note 10 of our consolidated financial statements in Item 1 of Part I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sources of liquidity available for our future cash requirements are expected to be (i) cash flows from operations, (ii) cash and cash equivalents on hand and (iii) borrowings from our Revolving Facility. We believe that our overall liquidity and operating cash flow will be sufficient to meet our anticipated cash requirements for capital expenditures, working capital, debt obligations and other commitments during the next twelve months. While uncertainty surrounding the current economic environment could adversely impact our business, based on our current financial position, we believe it is unlikely that any such effects would preclude us from maintaining sufficient liquidity.</w:t>
      </w:r>
    </w:p>
    <w:p>
      <w:pPr>
        <w:pStyle w:val="TextBody"/>
        <w:bidi w:val="0"/>
        <w:spacing w:before="0" w:after="0"/>
        <w:ind w:left="0" w:right="0" w:firstLine="36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The following table summarizes our consolidated statement of cash flows:</w:t>
      </w:r>
    </w:p>
    <w:p>
      <w:pPr>
        <w:pStyle w:val="TextBody"/>
        <w:bidi w:val="0"/>
        <w:spacing w:before="0" w:after="0"/>
        <w:ind w:left="0" w:right="0" w:hanging="0"/>
        <w:jc w:val="left"/>
      </w:pPr>
      <w:r>
        <w:t> </w:t>
      </w:r>
    </w:p>
    <w:tbl>
      <w:tblPr>
        <w:tblW w:w="6432" w:type="dxa"/>
        <w:jc w:val="left"/>
        <w:tblInd w:w="0" w:type="dxa"/>
        <w:tblLayout w:type="fixed"/>
        <w:tblCellMar>
          <w:top w:w="0" w:type="dxa"/>
          <w:left w:w="0" w:type="dxa"/>
          <w:bottom w:w="0" w:type="dxa"/>
          <w:right w:w="0" w:type="dxa"/>
        </w:tblCellMar>
      </w:tblPr>
      <w:tblGrid>
        <w:gridCol w:w="4640"/>
        <w:gridCol w:w="60"/>
        <w:gridCol w:w="155"/>
        <w:gridCol w:w="678"/>
        <w:gridCol w:w="99"/>
        <w:gridCol w:w="74"/>
        <w:gridCol w:w="155"/>
        <w:gridCol w:w="491"/>
        <w:gridCol w:w="80"/>
      </w:tblGrid>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2"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 Months Ended</w:t>
            </w:r>
          </w:p>
        </w:tc>
        <w:tc>
          <w:tcPr>
            <w:tcW w:w="80" w:type="dxa"/>
            <w:tcBorders/>
            <w:shd w:fill="FFFF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ind w:left="0" w:right="0" w:hanging="0"/>
              <w:jc w:val="left"/>
            </w:pPr>
            <w:r>
              <w:t> </w:t>
            </w:r>
          </w:p>
        </w:tc>
        <w:tc>
          <w:tcPr>
            <w:tcW w:w="6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9" w:type="dxa"/>
            <w:tcBorders/>
            <w:shd w:fill="CCEEFF" w:val="clear"/>
            <w:vAlign w:val="center"/>
          </w:tcPr>
          <w:p>
            <w:pPr>
              <w:pStyle w:val="TableContents"/>
              <w:bidi w:val="0"/>
              <w:spacing w:before="0" w:after="283"/>
              <w:jc w:val="left"/>
            </w:pPr>
            <w:r>
              <w:t> </w:t>
            </w:r>
          </w:p>
        </w:tc>
        <w:tc>
          <w:tcPr>
            <w:tcW w:w="74" w:type="dxa"/>
            <w:tcBorders/>
            <w:shd w:fill="CCEEFF" w:val="clear"/>
            <w:vAlign w:val="center"/>
          </w:tcPr>
          <w:p>
            <w:pPr>
              <w:pStyle w:val="TableContents"/>
              <w:bidi w:val="0"/>
              <w:spacing w:before="0" w:after="283"/>
              <w:jc w:val="left"/>
            </w:pPr>
            <w: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pPr>
            <w:r>
              <w:t> </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w:t>
            </w:r>
          </w:p>
        </w:tc>
        <w:tc>
          <w:tcPr>
            <w:tcW w:w="99" w:type="dxa"/>
            <w:tcBorders/>
            <w:shd w:fill="FFFFFF" w:val="clear"/>
            <w:vAlign w:val="center"/>
          </w:tcPr>
          <w:p>
            <w:pPr>
              <w:pStyle w:val="TableContents"/>
              <w:bidi w:val="0"/>
              <w:spacing w:before="0" w:after="283"/>
              <w:jc w:val="left"/>
            </w:pPr>
            <w:r>
              <w:t> </w:t>
            </w:r>
          </w:p>
        </w:tc>
        <w:tc>
          <w:tcPr>
            <w:tcW w:w="74" w:type="dxa"/>
            <w:tcBorders/>
            <w:shd w:fill="FFFFFF" w:val="clear"/>
            <w:vAlign w:val="center"/>
          </w:tcPr>
          <w:p>
            <w:pPr>
              <w:pStyle w:val="TableContents"/>
              <w:bidi w:val="0"/>
              <w:spacing w:before="0" w:after="283"/>
              <w:jc w:val="left"/>
            </w:pPr>
            <w:r>
              <w:t> </w:t>
            </w:r>
          </w:p>
        </w:tc>
        <w:tc>
          <w:tcPr>
            <w:tcW w:w="155" w:type="dxa"/>
            <w:tcBorders/>
            <w:shd w:fill="FFFFFF" w:val="clear"/>
            <w:vAlign w:val="center"/>
          </w:tcPr>
          <w:p>
            <w:pPr>
              <w:pStyle w:val="TableContents"/>
              <w:bidi w:val="0"/>
              <w:spacing w:before="0" w:after="283"/>
              <w:ind w:left="0" w:right="0" w:hanging="0"/>
              <w:jc w:val="left"/>
            </w:pPr>
            <w:r>
              <w:t> </w:t>
            </w:r>
          </w:p>
        </w:tc>
        <w:tc>
          <w:tcPr>
            <w:tcW w:w="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pPr>
            <w: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60" w:type="dxa"/>
            <w:tcBorders/>
            <w:shd w:fill="FFFFFF" w:val="clear"/>
            <w:vAlign w:val="center"/>
          </w:tcPr>
          <w:p>
            <w:pPr>
              <w:pStyle w:val="TableContents"/>
              <w:bidi w:val="0"/>
              <w:spacing w:before="0" w:after="0"/>
              <w:ind w:left="0" w:right="0" w:hanging="0"/>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0"/>
              <w:ind w:left="0" w:right="0" w:hanging="0"/>
              <w:jc w:val="left"/>
            </w:pPr>
            <w: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xml:space="preserve"> — Exclusive of working capital, other cash provided by continuing operations was $290 in 2026 and $153 in 2025. The year-over-year improvement is primarily attributable to the impact of higher year-over-year operating earnings from continuing operations. Continuing operations working capital used cash of $188 and $212 in 2026 and 2025, respectively. Cash of $369 and $219 was used to finance receivables in 2026 and 2025, respectively. Cash of $22 was provided by lower inventory levels in 2026 and cash of $18 was used to fund higher inventory levels in 2025. Increases in accounts payable and other net liabilities provided cash of $159 and $25 in 2026 and 2025, respectively. The Off-Highway business sale transaction closed on January 1, 2026. The Off-Highway business's Mexican operations continue to be presented as discontinued operations, as those operations have not yet legally transferred to the buyer. Operating activities of discontinued operations used cash of $86 in 2026 and generated cash of $165 in 2025. The use of cash in 2026 is primarily due cash paid for Off-Highway related divestiture activities.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xml:space="preserve"> — Expenditures for property, plant and equipment by continuing operations were $274 and $153 in 2026 and 2025, respectively. The elevated level of capital spending in 2026 is primarily due to the purchase of three U.S. manufacturing facilities that were previously leased. Investing activities of discontinued operations provided cash of $2,526 in 2026 and used cash of $31 in 2025. The Off-Highway business sale transaction closed on January 1, 2026, with only the Off-Highway business's Mexican operations continuing to be presented as discontinued operations, as those operations have not yet legally transferred to the buyer. We received net cash proceeds of $2,529 during 2026 on the sale of the Off-Highway business to Allison.</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Financing activities </w:t>
      </w:r>
      <w:r>
        <w:rPr>
          <w:rFonts w:ascii="Times New Roman;Times;serif" w:hAnsi="Times New Roman;Times;serif"/>
          <w:sz w:val="20"/>
        </w:rPr>
        <w:t>— During 2026, we repaid the $225 outstanding balance on our 2025 Term A Facility and we drew $500 on our 2026 Term A Facility. During 2025, we drew $250 on our 2025 Term A Facility. During 2026, we purchased $138 of our November 2027 Notes, $142 of our June 2028 Notes, €141 of our July 2029 Notes ($164 as of January 7, 2026), $173 of our September 2030 Notes, €9 of our July 2031 Notes ($10 as of January 7, 2026) and $152 of our February 2032 Notes. Also during 2026, we redeemed $262 of our November 2027 Notes, $258 of our June 2028 Notes and €416 of our July 2031 Notes ($480 as of July 31, 2026). During 2025, we redeemed the remaining $200 of our April 2025 Notes. We used cash of $39 and $42 for dividend payments to common stockholders during 2026 and 2025, respectively. We used cash of $369 and $439 to repurchase 12,230,264 common shares and 24,126,706 common shares under our share repurchase during 2026 and 2025, respectively. Distributions to noncontrolling interests totaled $10 and $14 in 2026 and 2025, respectively. During 2026, we paid Hydro-Québec $190 to acquire their 45% mandatorily redeemable noncontrolling interests in Dana TM4 Inc., Dana TM4 Electric Holdings BV and Dana TM4 USA, LLC. During 2025, we used cash of $14 to settle swaps associated with our April 2025 Notes.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at September 30, 2026 in our off-balance sheet arrangements from those reported or estimated in the disclosures in Item 7 of our 2025 Form 10-K.</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the second quarter of 2026, the Company modified an operating lease, resulting in a reassessment and reclassification of the lease as a finance lease. At the modification date, the carrying amounts of the operating lease right-of-use asset and lease liability were $62 million and $57 million, respectively. Following remeasurement, the Company recognized a finance lease right-of-use asset of $103 million and a finance lease liability of $98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July 10, 2026, we amended our credit and guaranty agreement to include a $500 Term A Facility (the 2026 Term A Facility). Borrowings under the 2026 Term A Facility bear interest at a floating rate based on Term Secured Overnight Financing Rate (SOFR) (as described in the credit agreement) plus a margin. The 2026 Term A Facility matures 364 days from the date of the first draw. We are required to make quarterly installments on the 2026 Term A Facility on the last day of each quarter commencing on December 31, 2026 in an amount equal to 10% of the original amount borrowed adjusted for any prepayments. On July 28, 2026, we fully drew the 2026 Term A Facility. On July 31, 2026, we redeemed all of our outstanding July 2031 Notes at a price equal to 104.25% plus accrued and unpaid interest.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have been no other material changes in our contractual obligations from those disclosed in Item 7 of our 2025 From 10-K.</w:t>
      </w:r>
    </w:p>
    <w:p>
      <w:pPr>
        <w:pStyle w:val="TextBody"/>
        <w:bidi w:val="0"/>
        <w:spacing w:before="0" w:after="0"/>
        <w:ind w:left="0" w:right="0" w:firstLine="36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a summary of litigation and other contingencies, see Note 12 to our consolidated financial statements in Item 1 of Part I. Based on information available to us at the present time, we do not believe that any liabilities beyond the amounts already accrued that may result from these contingencies will have a material adverse effect on our liquidity, financial condition or results of operations.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preparation of our consolidated financial statements in accordance with GAAP requires us to use estimates and make judgments and assumptions about future events that affect the reported amounts of assets, liabilities, revenue and expenses and the related disclosures. See Item 7 in our 2025 Form 10-K for a description of our critical accounting estimates and Note 1 to our consolidated financial statements in Item 8 of our 2025 Form 10-K for our significant accounting policies. There were no changes to our critical accounting estimates in the nine months ended September 30, 2026. See Note 1 to our consolidated financial statements in this Form 10-Q for a discussion of new accounting guidance adopted during the first nine months of 2026.</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bookmarkStart w:id="27" w:name="item3"/>
      <w:bookmarkEnd w:id="27"/>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market risk exposures related to changes in currency exchange rates, interest rates or commodity costs from those discussed in Item 7A of our 2025 Form 10-K.</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bookmarkStart w:id="28" w:name="item4"/>
      <w:bookmarkEnd w:id="28"/>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Disclosure controls and procedures</w:t>
      </w:r>
      <w:r>
        <w:rPr>
          <w:rFonts w:ascii="Times New Roman;Times;serif" w:hAnsi="Times New Roman;Times;serif"/>
          <w:sz w:val="20"/>
        </w:rPr>
        <w:t xml:space="preserve"> — We maintain disclosure controls and procedures that are designed to ensure that the information disclosed in the reports we file with the SEC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CEO and CFO, has evaluated the effectiveness of our disclosure controls and procedures as of the end of the period covered by this Quarterly Report on Form 10-Q. Our CEO and CFO have concluded that, as of the end of the period covered by this Quarterly Report on Form 10-Q, our disclosure controls and procedures (as defined in Rules 13a-15(e) and 15d-15(e) under the Exchange Act) were effective.</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was no change in our internal control over financial reporting that occurred during our fiscal quarter ended September 30, 2026 that has materially affected, or is reasonably likely to materially affect, our internal control over financial reporting.</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CEO and CFO certifications</w:t>
      </w:r>
      <w:r>
        <w:rPr>
          <w:rFonts w:ascii="Times New Roman;Times;serif" w:hAnsi="Times New Roman;Times;serif"/>
          <w:sz w:val="20"/>
        </w:rPr>
        <w:t xml:space="preserve"> — The certifications of our CEO and CFO that are attached to this report as Exhibits 31.1 and 31.2 include information about our disclosure controls and procedures and internal control over financial reporting. These certifications should be read in conjunction with the information contained in this Item 4 and in Item 9A of Part II of our 2025 Form 10-K for a more complete understanding of the matters covered by the certifications.</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29" w:name="part2"/>
      <w:bookmarkEnd w:id="29"/>
      <w:r>
        <w:rPr>
          <w:rFonts w:ascii="Times New Roman;Times;serif" w:hAnsi="Times New Roman;Times;serif"/>
          <w:b/>
          <w:sz w:val="20"/>
        </w:rPr>
        <w:t>PART II – OTHER INFORMATION</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bookmarkStart w:id="30" w:name="a2item1"/>
      <w:bookmarkEnd w:id="30"/>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party to various pending judicial and administrative proceedings that arose in the ordinary course of business. After reviewing the currently pending lawsuits and proceedings (including the probable outcomes, reasonably anticipated costs and expenses and our established reserves for uninsured liabilities), we do not believe that any liabilities that may result from these proceedings are reasonably likely to have a material adverse effect on our liquidity, financial condition or results of operations. Legal proceedings are also discussed in Note 12 to our consolidated financial statements in Item 1 of Part I of this Form 10-Q.</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bookmarkStart w:id="31" w:name="a2item1a"/>
      <w:bookmarkEnd w:id="31"/>
      <w:r>
        <w:rPr>
          <w:rFonts w:ascii="Times New Roman;Times;serif" w:hAnsi="Times New Roman;Times;serif"/>
          <w:b/>
          <w:sz w:val="20"/>
        </w:rPr>
        <w:t>Item 1</w:t>
      </w:r>
      <w:r>
        <w:rPr>
          <w:rFonts w:ascii="Times New Roman;Times;serif" w:hAnsi="Times New Roman;Times;serif"/>
          <w:b/>
          <w:sz w:val="20"/>
          <w:shd w:fill="FFFFFF" w:val="clear"/>
        </w:rPr>
        <w:t xml:space="preserve">A. </w:t>
      </w:r>
      <w:r>
        <w:rPr>
          <w:rFonts w:ascii="Times New Roman;Times;serif" w:hAnsi="Times New Roman;Times;serif"/>
          <w:b/>
          <w:i/>
          <w:sz w:val="20"/>
          <w:shd w:fill="FFFFFF" w:val="clear"/>
        </w:rPr>
        <w:t>Risk Factors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regarding risk factors of the Company is set forth under the heading “Risk Factors” under Part I, Item 1A in the Company’s Annual Report on Form 10-K for the year ended December 31, 2025, as filed with the SEC on February 27, 2026. The Company reviewed its risk factors as of September 30, 2026 and determined that, except as set forth below, there have been no material changes in its risk factors disclosed in Part I, Item 1A of its Annual Report on Form 10-K. Furthermore, note the discussion of certain factors under the subheading “Special Note Regarding Forward-Looking Statements” in Part I, Item 2 of this Quarterly Report on Form 10-Q. These risks are not the only ones facing the Company. Additional risks and uncertainties not currently known to the Company or that the Company currently deems to be immaterial may have a material adverse effect on the Company’s business, financial condition and operating results.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 Related to the Proposed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The consummation of the Proposed Transaction is subject to significant risks and uncertainties and may not be consummated on the expected terms, if at all. Further, our failure to successfully integrate the Mobility business within the expected timeline could adversely affect the combined company</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s future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10, 2026, we entered into an Agreement and Plan of Merger (the Merger Agreement) and a Separation and Distribution Agreement (the Separation Agreement) with Eaton Corporation plc (Eaton), Mobility (USA) Corporation (the SpinCo) and certain other subsidiaries of Eaton, to acquire the Mobility business (the Proposed Transaction). The Proposed Transaction is structured as a Reverse Morris Trust transaction. As part of the Proposed Transaction, Eaton will distribute the Mobility business (other than certain assets and liabilities that will be sold directly to Dana in a concurrent asset sale) to Eaton shareholders through an exchange offer (split-off), in which Eaton shareholders will have the opportunity to tender their Eaton shares in exchange for shares of SpinCo followed, if necessary, by a clean-up rata distribution. Immediately thereafter, a subsidiary of SpinCo will merge with and into Dana, and Dana will survive this merger as a direct wholly owned subsidiary of SpinCo. Immediately following this merger, and as part of the same overall transaction, Dana, as the surviving corporation, will merge with and into another direct wholly owned subsidiary of SpinCo, with that subsidiary surviving as a directly wholly owned subsidiary of SpinCo. In the merger, each outstanding share of Dana will be converted into the right to receive one SpinCo share. Prior to or at the closing, a subsidiary of Eaton will sell to Dana 100% of the stock in Royal Precision Holdings Corp. in exchange for cash consideration (the Royal Precision Purchase Price). In addition, certain subsidiaries of Eaton will sell certain specified assets (as defined in the Separation Agreement) to Dana in exchange for cash consideration (the Specified Assets Purchase Price). When the transaction is completed, former Eaton shareholders will own, in the aggregate, 50.1% and former Dana shareholders will own, in the aggregate, 49.9% of the outstanding shares of SpinCo common stock on a fully diluted basis. Under the terms of the agreement, Eaton will receive a cash distribution of approximately $1,100, subject to adjustment for cash and indebtedness, reduced by the Royal Precision Purchase Price and the Specified Assets Purchase Price, and increased as a result of any pre-closing share repurchases by Dana pursuant to the Share Buyback Side Letter. Consummation of the Proposed Transaction is subject to receipt of required regulatory approvals, Dana stockholder approval, receipt of certain tax opinions and satisfaction of other customary closing conditions. As a result, there can be no assurance that the Proposed Transaction will be consummated on the expected terms, in accordance with our anticipated timeline, or at all. Any delay in consummation of the Proposed Transaction could result in increased transaction costs and could cause disruptions to our business or business relationships, which could have an adverse impact on our results of operations. Additionally, if the Merger Agreement is terminated under certain circumstances prior to the consummation of the Proposed Transaction, we may be required to pay Eaton a termination fee of $159 and/or reimburse certain of Eaton’s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Proposed Transaction will cause the ownership and voting interests of our existing stockholders to be diluted. In addition, our stock price has been volatile since the announcement of the Proposed Transaction, and it may continue to fluctuate significantly in response to the pendency of the Proposed Transaction and any developments related thereto.</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consummated, the success of the Proposed Transaction will depend, in significant part, on the successful integration of the Mobility business with our business and our ability to realize the anticipated synergies, growth opportunities and other financial and operating benefits from the Proposed Transaction. There is a significant degree of difficulty inherent in the process of integrating the Mobility business with our business, and the benefits from the Proposed Transaction may be offset by costs incurred in integrating the Mobility business. Difficulties in integrating the practices and operations of these two businesses may result in the combined company performing differently than expected, operational challenges or the delay or failure to realize anticipated benefits and synergies, and could have a material adverse effect on our business, financial condition or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and SpinCo expect to incur a substantial amount of indebtedness in connection with the Proposed Transaction, and the final terms and cost of such indebtedness remain uncertain. The combined company’s substantial indebtedness following the consummation of the Proposed Transaction may have the effect of, among other things, reducing its flexibility to respond to changing business and economic conditions, lowering its credit ratings, increasing its borrowing costs, restricting its access to capital, impairing its ability to refinance indebtedness on acceptable terms and/or requiring it to reduce or delay investments, strategic acquisitions and capital expenditures or seek additional capital to refinance its indebtedness.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 w:hAnsi="Times New Roman"/>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bookmarkStart w:id="32" w:name="a2item2"/>
      <w:bookmarkEnd w:id="32"/>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Issuer's purchases of equity securities —</w:t>
      </w:r>
      <w:r>
        <w:rPr>
          <w:rFonts w:ascii="Times New Roman;Times;serif" w:hAnsi="Times New Roman;Times;serif"/>
          <w:sz w:val="20"/>
        </w:rPr>
        <w:t> On June 8, 2025 our Board of Directors approved a stock repurchase program of up to an aggregate of $1,000 less any amount of special dividends distributed in connection with the sale of the Off-Highway business. On February 11, 2026, our Board of Directors increased and extended the share repurchase program to a total of $2,000 through December 31, 2030. The following table summarizes our purchases of common stock during the third quarter of 2026.</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28" w:type="dxa"/>
          <w:right w:w="0" w:type="dxa"/>
        </w:tblCellMar>
      </w:tblPr>
      <w:tblGrid>
        <w:gridCol w:w="1536"/>
        <w:gridCol w:w="60"/>
        <w:gridCol w:w="88"/>
        <w:gridCol w:w="1248"/>
        <w:gridCol w:w="60"/>
        <w:gridCol w:w="60"/>
        <w:gridCol w:w="245"/>
        <w:gridCol w:w="955"/>
        <w:gridCol w:w="60"/>
        <w:gridCol w:w="60"/>
        <w:gridCol w:w="169"/>
        <w:gridCol w:w="2432"/>
        <w:gridCol w:w="60"/>
        <w:gridCol w:w="60"/>
        <w:gridCol w:w="623"/>
        <w:gridCol w:w="2424"/>
        <w:gridCol w:w="65"/>
      </w:tblGrid>
      <w:tr>
        <w:tc>
          <w:tcPr>
            <w:tcW w:w="153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33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 Purchased</w:t>
            </w:r>
          </w:p>
        </w:tc>
        <w:tc>
          <w:tcPr>
            <w:tcW w:w="6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12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Paid per Share</w:t>
            </w:r>
          </w:p>
        </w:tc>
        <w:tc>
          <w:tcPr>
            <w:tcW w:w="6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601"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 Purchased as Part of Publicly Announced Plans or Programs</w:t>
            </w:r>
          </w:p>
        </w:tc>
        <w:tc>
          <w:tcPr>
            <w:tcW w:w="60" w:type="dxa"/>
            <w:tcBorders>
              <w:bottom w:val="single" w:sz="2" w:space="0" w:color="000000"/>
            </w:tcBorders>
            <w:shd w:fill="FFFFFF" w:val="cle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304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Approximate Dollar Value of Shares that May Yet be Purchased Under the Plans or Programs</w:t>
            </w:r>
          </w:p>
        </w:tc>
        <w:tc>
          <w:tcPr>
            <w:tcW w:w="65" w:type="dxa"/>
            <w:tcBorders>
              <w:bottom w:val="single" w:sz="2" w:space="0" w:color="000000"/>
            </w:tcBorders>
            <w:shd w:fill="FFFFFF" w:val="clear"/>
            <w:vAlign w:val="center"/>
          </w:tcPr>
          <w:p>
            <w:pPr>
              <w:pStyle w:val="TableContents"/>
              <w:bidi w:val="0"/>
              <w:spacing w:before="0" w:after="283"/>
              <w:jc w:val="left"/>
            </w:pPr>
            <w:r>
              <w:t> </w:t>
            </w:r>
          </w:p>
        </w:tc>
      </w:tr>
      <w:tr>
        <w:tc>
          <w:tcPr>
            <w:tcW w:w="15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 July 31, 2026</w:t>
            </w:r>
          </w:p>
        </w:tc>
        <w:tc>
          <w:tcPr>
            <w:tcW w:w="60" w:type="dxa"/>
            <w:tcBorders/>
            <w:shd w:fill="CCEEFF" w:val="clear"/>
            <w:tcMar>
              <w:bottom w:w="0" w:type="dxa"/>
            </w:tcMar>
            <w:vAlign w:val="center"/>
          </w:tcPr>
          <w:p>
            <w:pPr>
              <w:pStyle w:val="TableContents"/>
              <w:bidi w:val="0"/>
              <w:spacing w:before="0" w:after="283"/>
              <w:jc w:val="left"/>
            </w:pPr>
            <w:r>
              <w:t> </w:t>
            </w:r>
          </w:p>
        </w:tc>
        <w:tc>
          <w:tcPr>
            <w:tcW w:w="88" w:type="dxa"/>
            <w:tcBorders/>
            <w:shd w:fill="CCEEFF" w:val="clear"/>
            <w:tcMar>
              <w:bottom w:w="0" w:type="dxa"/>
            </w:tcMar>
            <w:vAlign w:val="center"/>
          </w:tcPr>
          <w:p>
            <w:pPr>
              <w:pStyle w:val="TableContents"/>
              <w:bidi w:val="0"/>
              <w:spacing w:before="0" w:after="283"/>
              <w:ind w:left="0" w:right="0" w:hanging="0"/>
              <w:jc w:val="left"/>
            </w:pPr>
            <w:r>
              <w:t> </w:t>
            </w:r>
          </w:p>
        </w:tc>
        <w:tc>
          <w:tcPr>
            <w:tcW w:w="1248"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5" w:type="dxa"/>
            <w:tcBorders/>
            <w:shd w:fill="CCEEFF" w:val="clear"/>
            <w:tcMar>
              <w:bottom w:w="0" w:type="dxa"/>
            </w:tcMar>
            <w:vAlign w:val="center"/>
          </w:tcPr>
          <w:p>
            <w:pPr>
              <w:pStyle w:val="TableContents"/>
              <w:bidi w:val="0"/>
              <w:spacing w:before="0" w:after="283"/>
              <w:ind w:left="0" w:right="0" w:hanging="0"/>
              <w:jc w:val="left"/>
            </w:pPr>
            <w:r>
              <w:t> </w:t>
            </w:r>
          </w:p>
        </w:tc>
        <w:tc>
          <w:tcPr>
            <w:tcW w:w="955"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9" w:type="dxa"/>
            <w:tcBorders/>
            <w:shd w:fill="CCEEFF" w:val="clear"/>
            <w:tcMar>
              <w:bottom w:w="0" w:type="dxa"/>
            </w:tcMar>
            <w:vAlign w:val="center"/>
          </w:tcPr>
          <w:p>
            <w:pPr>
              <w:pStyle w:val="TableContents"/>
              <w:bidi w:val="0"/>
              <w:spacing w:before="0" w:after="283"/>
              <w:ind w:left="0" w:right="0" w:hanging="0"/>
              <w:jc w:val="left"/>
            </w:pPr>
            <w:r>
              <w:t> </w:t>
            </w:r>
          </w:p>
        </w:tc>
        <w:tc>
          <w:tcPr>
            <w:tcW w:w="2432" w:type="dxa"/>
            <w:tcBorders/>
            <w:shd w:fill="CCEEFF" w:val="clear"/>
            <w:tcMar>
              <w:bottom w:w="0" w:type="dxa"/>
            </w:tcMar>
            <w:vAlign w:val="center"/>
          </w:tcPr>
          <w:p>
            <w:pPr>
              <w:pStyle w:val="TableContents"/>
              <w:bidi w:val="0"/>
              <w:spacing w:before="0" w:after="283"/>
              <w:ind w:left="0" w:right="0" w:hanging="0"/>
              <w:jc w:val="right"/>
            </w:pPr>
            <w: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65" w:type="dxa"/>
            <w:tcBorders/>
            <w:shd w:fill="CCEEFF" w:val="clear"/>
            <w:tcMar>
              <w:bottom w:w="0" w:type="dxa"/>
            </w:tcMar>
            <w:vAlign w:val="center"/>
          </w:tcPr>
          <w:p>
            <w:pPr>
              <w:pStyle w:val="TableContents"/>
              <w:bidi w:val="0"/>
              <w:spacing w:before="0" w:after="283"/>
              <w:jc w:val="left"/>
            </w:pPr>
            <w:r>
              <w:t> </w:t>
            </w:r>
          </w:p>
        </w:tc>
      </w:tr>
      <w:tr>
        <w:tc>
          <w:tcPr>
            <w:tcW w:w="153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 August 31, 2026</w:t>
            </w:r>
          </w:p>
        </w:tc>
        <w:tc>
          <w:tcPr>
            <w:tcW w:w="60" w:type="dxa"/>
            <w:tcBorders/>
            <w:shd w:fill="FFFFFF" w:val="clear"/>
            <w:tcMar>
              <w:bottom w:w="0" w:type="dxa"/>
            </w:tcMar>
            <w:vAlign w:val="center"/>
          </w:tcPr>
          <w:p>
            <w:pPr>
              <w:pStyle w:val="TableContents"/>
              <w:bidi w:val="0"/>
              <w:spacing w:before="0" w:after="283"/>
              <w:jc w:val="left"/>
            </w:pPr>
            <w:r>
              <w:t> </w:t>
            </w:r>
          </w:p>
        </w:tc>
        <w:tc>
          <w:tcPr>
            <w:tcW w:w="88" w:type="dxa"/>
            <w:tcBorders/>
            <w:shd w:fill="FFFFFF" w:val="clear"/>
            <w:tcMar>
              <w:bottom w:w="0" w:type="dxa"/>
            </w:tcMar>
            <w:vAlign w:val="center"/>
          </w:tcPr>
          <w:p>
            <w:pPr>
              <w:pStyle w:val="TableContents"/>
              <w:bidi w:val="0"/>
              <w:spacing w:before="0" w:after="283"/>
              <w:ind w:left="0" w:right="0" w:hanging="0"/>
              <w:jc w:val="left"/>
            </w:pPr>
            <w:r>
              <w:t> </w:t>
            </w:r>
          </w:p>
        </w:tc>
        <w:tc>
          <w:tcPr>
            <w:tcW w:w="124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3,240,571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24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9" w:type="dxa"/>
            <w:tcBorders/>
            <w:shd w:fill="FFFFFF" w:val="clear"/>
            <w:tcMar>
              <w:bottom w:w="0" w:type="dxa"/>
            </w:tcMar>
            <w:vAlign w:val="center"/>
          </w:tcPr>
          <w:p>
            <w:pPr>
              <w:pStyle w:val="TableContents"/>
              <w:bidi w:val="0"/>
              <w:spacing w:before="0" w:after="283"/>
              <w:ind w:left="0" w:right="0" w:hanging="0"/>
              <w:jc w:val="left"/>
            </w:pPr>
            <w:r>
              <w:t> </w:t>
            </w:r>
          </w:p>
        </w:tc>
        <w:tc>
          <w:tcPr>
            <w:tcW w:w="24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3,240,571</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ind w:left="0" w:right="0" w:hanging="0"/>
              <w:jc w:val="left"/>
            </w:pPr>
            <w:r>
              <w:t> </w:t>
            </w:r>
          </w:p>
        </w:tc>
        <w:tc>
          <w:tcPr>
            <w:tcW w:w="62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w:t>
            </w:r>
          </w:p>
        </w:tc>
        <w:tc>
          <w:tcPr>
            <w:tcW w:w="65" w:type="dxa"/>
            <w:tcBorders/>
            <w:shd w:fill="FFFFFF" w:val="clear"/>
            <w:tcMar>
              <w:bottom w:w="0" w:type="dxa"/>
            </w:tcMar>
            <w:vAlign w:val="center"/>
          </w:tcPr>
          <w:p>
            <w:pPr>
              <w:pStyle w:val="TableContents"/>
              <w:bidi w:val="0"/>
              <w:spacing w:before="0" w:after="283"/>
              <w:jc w:val="left"/>
            </w:pPr>
            <w:r>
              <w:t> </w:t>
            </w:r>
          </w:p>
        </w:tc>
      </w:tr>
      <w:tr>
        <w:tc>
          <w:tcPr>
            <w:tcW w:w="15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 September 30, 2026</w:t>
            </w:r>
          </w:p>
        </w:tc>
        <w:tc>
          <w:tcPr>
            <w:tcW w:w="60" w:type="dxa"/>
            <w:tcBorders/>
            <w:shd w:fill="CCEEFF" w:val="clear"/>
            <w:tcMar>
              <w:bottom w:w="0" w:type="dxa"/>
            </w:tcMar>
            <w:vAlign w:val="center"/>
          </w:tcPr>
          <w:p>
            <w:pPr>
              <w:pStyle w:val="TableContents"/>
              <w:bidi w:val="0"/>
              <w:spacing w:before="0" w:after="283"/>
              <w:jc w:val="left"/>
            </w:pPr>
            <w:r>
              <w:t> </w:t>
            </w:r>
          </w:p>
        </w:tc>
        <w:tc>
          <w:tcPr>
            <w:tcW w:w="88" w:type="dxa"/>
            <w:tcBorders/>
            <w:shd w:fill="CCEEFF" w:val="clear"/>
            <w:tcMar>
              <w:bottom w:w="0" w:type="dxa"/>
            </w:tcMar>
            <w:vAlign w:val="center"/>
          </w:tcPr>
          <w:p>
            <w:pPr>
              <w:pStyle w:val="TableContents"/>
              <w:bidi w:val="0"/>
              <w:spacing w:before="0" w:after="283"/>
              <w:ind w:left="0" w:right="0" w:hanging="0"/>
              <w:jc w:val="left"/>
            </w:pPr>
            <w:r>
              <w:t> </w:t>
            </w:r>
          </w:p>
        </w:tc>
        <w:tc>
          <w:tcPr>
            <w:tcW w:w="124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3,324,779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9" w:type="dxa"/>
            <w:tcBorders/>
            <w:shd w:fill="CCEEFF" w:val="clear"/>
            <w:tcMar>
              <w:bottom w:w="0" w:type="dxa"/>
            </w:tcMar>
            <w:vAlign w:val="center"/>
          </w:tcPr>
          <w:p>
            <w:pPr>
              <w:pStyle w:val="TableContents"/>
              <w:bidi w:val="0"/>
              <w:spacing w:before="0" w:after="283"/>
              <w:ind w:left="0" w:right="0" w:hanging="0"/>
              <w:jc w:val="left"/>
            </w:pPr>
            <w:r>
              <w:t> </w:t>
            </w:r>
          </w:p>
        </w:tc>
        <w:tc>
          <w:tcPr>
            <w:tcW w:w="24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3,324,779</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62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w:t>
            </w:r>
          </w:p>
        </w:tc>
        <w:tc>
          <w:tcPr>
            <w:tcW w:w="65"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bookmarkStart w:id="33" w:name="a2item5"/>
      <w:bookmarkEnd w:id="33"/>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w:t>
      </w:r>
      <w:r>
        <w:rPr>
          <w:rFonts w:ascii="Times New Roman;Times;serif" w:hAnsi="Times New Roman;Times;serif"/>
          <w:b/>
          <w:i/>
          <w:sz w:val="20"/>
        </w:rPr>
        <w:t>Other Information</w:t>
      </w:r>
    </w:p>
    <w:p>
      <w:pPr>
        <w:pStyle w:val="TextBody"/>
        <w:bidi w:val="0"/>
        <w:spacing w:before="0" w:after="0"/>
        <w:ind w:left="0" w:right="0" w:hanging="0"/>
        <w:jc w:val="left"/>
      </w:pPr>
      <w:r>
        <w:t> </w:t>
      </w:r>
    </w:p>
    <w:p>
      <w:pPr>
        <w:pStyle w:val="TextBody"/>
        <w:bidi w:val="0"/>
        <w:spacing w:before="0" w:after="0"/>
        <w:ind w:left="0" w:right="0" w:firstLine="360"/>
        <w:jc w:val="left"/>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September 30, 2026</w:t>
      </w:r>
      <w:r>
        <w:rPr>
          <w:rFonts w:ascii="Times New Roman;Times;serif" w:hAnsi="Times New Roman;Times;serif"/>
          <w:sz w:val="20"/>
        </w:rPr>
        <w:t xml:space="preserve">, none of the Company’s directors or executive officers adopted or terminated any contract, instruction or written plan for the purchase or sale of Company securities that was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or any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sz w:val="20"/>
        </w:rPr>
      </w:pPr>
      <w:bookmarkStart w:id="34" w:name="a2item6"/>
      <w:bookmarkEnd w:id="34"/>
      <w:r>
        <w:rPr>
          <w:rFonts w:ascii="Times New Roman;Times;serif" w:hAnsi="Times New Roman;Times;serif"/>
          <w:b/>
          <w:sz w:val="20"/>
        </w:rPr>
        <w:t xml:space="preserve">Item 6. </w:t>
      </w:r>
      <w:r>
        <w:rPr>
          <w:rFonts w:ascii="Times New Roman;Times;serif" w:hAnsi="Times New Roman;Times;serif"/>
          <w:b/>
          <w:i/>
          <w:sz w:val="20"/>
        </w:rPr>
        <w:t>Exhibits</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733"/>
        <w:gridCol w:w="9472"/>
      </w:tblGrid>
      <w:tr>
        <w:tc>
          <w:tcPr>
            <w:tcW w:w="73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Exhibit No. </w:t>
            </w:r>
          </w:p>
        </w:tc>
        <w:tc>
          <w:tcPr>
            <w:tcW w:w="947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c>
          <w:tcPr>
            <w:tcW w:w="733" w:type="dxa"/>
            <w:tcBorders/>
            <w:vAlign w:val="center"/>
          </w:tcPr>
          <w:p>
            <w:pPr>
              <w:pStyle w:val="TableContents"/>
              <w:bidi w:val="0"/>
              <w:spacing w:before="0" w:after="283"/>
              <w:jc w:val="left"/>
            </w:pPr>
            <w:r>
              <w:t> </w:t>
            </w:r>
          </w:p>
        </w:tc>
        <w:tc>
          <w:tcPr>
            <w:tcW w:w="9472" w:type="dxa"/>
            <w:tcBorders/>
            <w:vAlign w:val="center"/>
          </w:tcPr>
          <w:p>
            <w:pPr>
              <w:pStyle w:val="TableContents"/>
              <w:bidi w:val="0"/>
              <w:spacing w:before="0" w:after="283"/>
              <w:jc w:val="left"/>
            </w:pPr>
            <w:r>
              <w:t> </w:t>
            </w:r>
          </w:p>
        </w:tc>
      </w:tr>
      <w:tr>
        <w:tc>
          <w:tcPr>
            <w:tcW w:w="733" w:type="dxa"/>
            <w:tcBorders/>
            <w:vAlign w:val="center"/>
          </w:tcPr>
          <w:p>
            <w:pPr>
              <w:pStyle w:val="TableContents"/>
              <w:bidi w:val="0"/>
              <w:spacing w:before="0" w:after="283"/>
              <w:jc w:val="center"/>
            </w:pPr>
            <w:r>
              <w:t>10.1</w:t>
            </w:r>
          </w:p>
        </w:tc>
        <w:tc>
          <w:tcPr>
            <w:tcW w:w="9472" w:type="dxa"/>
            <w:tcBorders/>
            <w:vAlign w:val="center"/>
          </w:tcPr>
          <w:p>
            <w:pPr>
              <w:pStyle w:val="TableContents"/>
              <w:bidi w:val="0"/>
              <w:spacing w:before="0" w:after="283"/>
              <w:jc w:val="left"/>
            </w:pPr>
            <w:hyperlink r:id="rId2">
              <w:r>
                <w:rPr>
                  <w:rStyle w:val="InternetLink"/>
                </w:rPr>
                <w:t>Amendment No. 8 to Credit and Guaranty Agreement, dated as of July 10, 2026, among Dana Incorporated, the guarantors party thereto, Citibank, N.A., as administrative agent and collateral agent, and the lenders party thereto, and incorporated herein by reference.</w:t>
              </w:r>
            </w:hyperlink>
          </w:p>
        </w:tc>
      </w:tr>
      <w:tr>
        <w:tc>
          <w:tcPr>
            <w:tcW w:w="733" w:type="dxa"/>
            <w:tcBorders/>
            <w:vAlign w:val="center"/>
          </w:tcPr>
          <w:p>
            <w:pPr>
              <w:pStyle w:val="TableContents"/>
              <w:bidi w:val="0"/>
              <w:spacing w:before="0" w:after="283"/>
              <w:jc w:val="left"/>
            </w:pPr>
            <w:r>
              <w:t> </w:t>
            </w:r>
          </w:p>
        </w:tc>
        <w:tc>
          <w:tcPr>
            <w:tcW w:w="9472" w:type="dxa"/>
            <w:tcBorders/>
            <w:vAlign w:val="center"/>
          </w:tcPr>
          <w:p>
            <w:pPr>
              <w:pStyle w:val="TableContents"/>
              <w:bidi w:val="0"/>
              <w:spacing w:before="0" w:after="283"/>
              <w:jc w:val="left"/>
            </w:pPr>
            <w:r>
              <w:t> </w:t>
            </w:r>
          </w:p>
        </w:tc>
      </w:tr>
      <w:tr>
        <w:tc>
          <w:tcPr>
            <w:tcW w:w="7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9472" w:type="dxa"/>
            <w:tcBorders/>
            <w:vAlign w:val="center"/>
          </w:tcPr>
          <w:p>
            <w:pPr>
              <w:pStyle w:val="TableContents"/>
              <w:bidi w:val="0"/>
              <w:spacing w:before="0" w:after="0"/>
              <w:ind w:left="0" w:right="0" w:hanging="0"/>
              <w:jc w:val="left"/>
            </w:pPr>
            <w:hyperlink w:anchor="ex_1011351.htm">
              <w:r>
                <w:rPr>
                  <w:rStyle w:val="InternetLink"/>
                  <w:rFonts w:ascii="Times New Roman;Times;serif" w:hAnsi="Times New Roman;Times;serif"/>
                  <w:sz w:val="20"/>
                </w:rPr>
                <w:t>Rule 13a-14(a)/15d-14(a) Certification of Chief Executive Officer. Filed with this Report.</w:t>
              </w:r>
            </w:hyperlink>
          </w:p>
        </w:tc>
      </w:tr>
      <w:tr>
        <w:tc>
          <w:tcPr>
            <w:tcW w:w="733" w:type="dxa"/>
            <w:tcBorders/>
            <w:vAlign w:val="center"/>
          </w:tcPr>
          <w:p>
            <w:pPr>
              <w:pStyle w:val="TableContents"/>
              <w:bidi w:val="0"/>
              <w:spacing w:before="0" w:after="0"/>
              <w:ind w:left="0" w:right="0" w:hanging="0"/>
              <w:jc w:val="center"/>
            </w:pPr>
            <w:r>
              <w:t> </w:t>
            </w:r>
          </w:p>
        </w:tc>
        <w:tc>
          <w:tcPr>
            <w:tcW w:w="9472" w:type="dxa"/>
            <w:tcBorders/>
            <w:vAlign w:val="center"/>
          </w:tcPr>
          <w:p>
            <w:pPr>
              <w:pStyle w:val="TableContents"/>
              <w:bidi w:val="0"/>
              <w:spacing w:before="0" w:after="0"/>
              <w:ind w:left="0" w:right="0" w:hanging="0"/>
              <w:jc w:val="left"/>
            </w:pPr>
            <w:r>
              <w:t> </w:t>
            </w:r>
          </w:p>
        </w:tc>
      </w:tr>
      <w:tr>
        <w:tc>
          <w:tcPr>
            <w:tcW w:w="7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9472" w:type="dxa"/>
            <w:tcBorders/>
            <w:vAlign w:val="center"/>
          </w:tcPr>
          <w:p>
            <w:pPr>
              <w:pStyle w:val="TableContents"/>
              <w:bidi w:val="0"/>
              <w:spacing w:before="0" w:after="0"/>
              <w:ind w:left="0" w:right="0" w:hanging="0"/>
              <w:jc w:val="left"/>
            </w:pPr>
            <w:hyperlink w:anchor="ex_1011352.htm">
              <w:r>
                <w:rPr>
                  <w:rStyle w:val="InternetLink"/>
                  <w:rFonts w:ascii="Times New Roman;Times;serif" w:hAnsi="Times New Roman;Times;serif"/>
                  <w:sz w:val="20"/>
                </w:rPr>
                <w:t>Rule 13a-14(a)/15d-14(a) Certification of Chief Financial Officer. Filed with this Report.</w:t>
              </w:r>
            </w:hyperlink>
          </w:p>
        </w:tc>
      </w:tr>
      <w:tr>
        <w:tc>
          <w:tcPr>
            <w:tcW w:w="733" w:type="dxa"/>
            <w:tcBorders/>
            <w:vAlign w:val="center"/>
          </w:tcPr>
          <w:p>
            <w:pPr>
              <w:pStyle w:val="TableContents"/>
              <w:bidi w:val="0"/>
              <w:spacing w:before="0" w:after="0"/>
              <w:ind w:left="0" w:right="0" w:hanging="0"/>
              <w:jc w:val="center"/>
            </w:pPr>
            <w:r>
              <w:t> </w:t>
            </w:r>
          </w:p>
        </w:tc>
        <w:tc>
          <w:tcPr>
            <w:tcW w:w="9472" w:type="dxa"/>
            <w:tcBorders/>
            <w:vAlign w:val="center"/>
          </w:tcPr>
          <w:p>
            <w:pPr>
              <w:pStyle w:val="TableContents"/>
              <w:bidi w:val="0"/>
              <w:spacing w:before="0" w:after="0"/>
              <w:ind w:left="0" w:right="0" w:hanging="0"/>
              <w:jc w:val="left"/>
            </w:pPr>
            <w:r>
              <w:t> </w:t>
            </w:r>
          </w:p>
        </w:tc>
      </w:tr>
      <w:tr>
        <w:tc>
          <w:tcPr>
            <w:tcW w:w="7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9472" w:type="dxa"/>
            <w:tcBorders/>
            <w:vAlign w:val="center"/>
          </w:tcPr>
          <w:p>
            <w:pPr>
              <w:pStyle w:val="TableContents"/>
              <w:bidi w:val="0"/>
              <w:spacing w:before="0" w:after="0"/>
              <w:ind w:left="0" w:right="0" w:hanging="0"/>
              <w:jc w:val="left"/>
            </w:pPr>
            <w:hyperlink w:anchor="ex_1011353.htm">
              <w:r>
                <w:rPr>
                  <w:rStyle w:val="InternetLink"/>
                  <w:rFonts w:ascii="Times New Roman;Times;serif" w:hAnsi="Times New Roman;Times;serif"/>
                  <w:sz w:val="20"/>
                </w:rPr>
                <w:t>Section 1350 Certifications (pursuant to Section 906 of the Sarbanes-Oxley Act of 2002). Filed with this Report.</w:t>
              </w:r>
            </w:hyperlink>
          </w:p>
        </w:tc>
      </w:tr>
      <w:tr>
        <w:tc>
          <w:tcPr>
            <w:tcW w:w="733" w:type="dxa"/>
            <w:tcBorders/>
            <w:vAlign w:val="center"/>
          </w:tcPr>
          <w:p>
            <w:pPr>
              <w:pStyle w:val="TableContents"/>
              <w:bidi w:val="0"/>
              <w:spacing w:before="0" w:after="0"/>
              <w:ind w:left="0" w:right="0" w:hanging="0"/>
              <w:jc w:val="center"/>
            </w:pPr>
            <w:r>
              <w:t> </w:t>
            </w:r>
          </w:p>
        </w:tc>
        <w:tc>
          <w:tcPr>
            <w:tcW w:w="9472" w:type="dxa"/>
            <w:tcBorders/>
            <w:vAlign w:val="center"/>
          </w:tcPr>
          <w:p>
            <w:pPr>
              <w:pStyle w:val="TableContents"/>
              <w:bidi w:val="0"/>
              <w:spacing w:before="0" w:after="0"/>
              <w:ind w:left="0" w:right="0" w:hanging="0"/>
              <w:jc w:val="left"/>
            </w:pPr>
            <w:r>
              <w:t> </w:t>
            </w:r>
          </w:p>
        </w:tc>
      </w:tr>
      <w:tr>
        <w:tc>
          <w:tcPr>
            <w:tcW w:w="7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9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Dana Incorporated’s Quarterly Report on Form 10-Q for the quarter ended September 30, 2026, formatted in iXBRL (Inline Extensible Business Reporting Language): (i) the Consolidated Statement of Operations, (ii) the Consolidated Statement of Comprehensive Income, (iii) the Consolidated Balance Sheet, (iv) the Consolidated Statement of Cash Flows and (v) Notes to the Consolidated Financial Statements. Furnished with this Report.</w:t>
            </w:r>
          </w:p>
        </w:tc>
      </w:tr>
      <w:tr>
        <w:tc>
          <w:tcPr>
            <w:tcW w:w="733" w:type="dxa"/>
            <w:tcBorders/>
            <w:vAlign w:val="center"/>
          </w:tcPr>
          <w:p>
            <w:pPr>
              <w:pStyle w:val="TableContents"/>
              <w:bidi w:val="0"/>
              <w:spacing w:before="0" w:after="0"/>
              <w:ind w:left="0" w:right="0" w:hanging="0"/>
              <w:jc w:val="left"/>
            </w:pPr>
            <w:r>
              <w:t> </w:t>
            </w:r>
          </w:p>
        </w:tc>
        <w:tc>
          <w:tcPr>
            <w:tcW w:w="9472" w:type="dxa"/>
            <w:tcBorders/>
            <w:vAlign w:val="center"/>
          </w:tcPr>
          <w:p>
            <w:pPr>
              <w:pStyle w:val="TableContents"/>
              <w:bidi w:val="0"/>
              <w:spacing w:before="0" w:after="0"/>
              <w:ind w:left="0" w:right="0" w:hanging="0"/>
              <w:jc w:val="left"/>
            </w:pPr>
            <w:r>
              <w:t> </w:t>
            </w:r>
          </w:p>
        </w:tc>
      </w:tr>
      <w:tr>
        <w:tc>
          <w:tcPr>
            <w:tcW w:w="7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9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 w:hAnsi="Times New Roman"/>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Times;serif" w:hAnsi="Times New Roman;Times;serif"/>
          <w:b/>
          <w:sz w:val="20"/>
        </w:rPr>
      </w:pPr>
      <w:bookmarkStart w:id="35" w:name="sigs"/>
      <w:bookmarkEnd w:id="35"/>
      <w:r>
        <w:rPr>
          <w:rFonts w:ascii="Times New Roman;Times;serif" w:hAnsi="Times New Roman;Times;serif"/>
          <w:b/>
          <w:sz w:val="20"/>
        </w:rPr>
        <w:t>SIGNATURES</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pPr>
      <w:r>
        <w:t> </w:t>
      </w:r>
    </w:p>
    <w:p>
      <w:pPr>
        <w:pStyle w:val="TextBody"/>
        <w:bidi w:val="0"/>
        <w:spacing w:before="0" w:after="0"/>
        <w:ind w:left="0" w:right="0" w:hanging="0"/>
        <w:jc w:val="left"/>
      </w:pPr>
      <w:r>
        <w:t> </w:t>
      </w:r>
    </w:p>
    <w:tbl>
      <w:tblPr>
        <w:tblW w:w="4880" w:type="dxa"/>
        <w:jc w:val="left"/>
        <w:tblInd w:w="0" w:type="dxa"/>
        <w:tblLayout w:type="fixed"/>
        <w:tblCellMar>
          <w:top w:w="0" w:type="dxa"/>
          <w:left w:w="0" w:type="dxa"/>
          <w:bottom w:w="0" w:type="dxa"/>
          <w:right w:w="0" w:type="dxa"/>
        </w:tblCellMar>
      </w:tblPr>
      <w:tblGrid>
        <w:gridCol w:w="470"/>
        <w:gridCol w:w="1520"/>
        <w:gridCol w:w="410"/>
        <w:gridCol w:w="2405"/>
        <w:gridCol w:w="75"/>
      </w:tblGrid>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281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DANA INCORPORATED</w:t>
            </w:r>
          </w:p>
        </w:tc>
        <w:tc>
          <w:tcPr>
            <w:tcW w:w="75" w:type="dxa"/>
            <w:tcBorders/>
            <w:vAlign w:val="center"/>
          </w:tcPr>
          <w:p>
            <w:pPr>
              <w:pStyle w:val="TableContents"/>
              <w:bidi w:val="0"/>
              <w:spacing w:before="0" w:after="283"/>
              <w:jc w:val="left"/>
            </w:pPr>
            <w:r>
              <w:t> </w:t>
            </w:r>
          </w:p>
        </w:tc>
      </w:tr>
      <w:tr>
        <w:tc>
          <w:tcPr>
            <w:tcW w:w="470" w:type="dxa"/>
            <w:tcBorders/>
            <w:vAlign w:val="center"/>
          </w:tcPr>
          <w:p>
            <w:pPr>
              <w:pStyle w:val="TableContents"/>
              <w:bidi w:val="0"/>
              <w:spacing w:before="0" w:after="283"/>
              <w:jc w:val="left"/>
            </w:pPr>
            <w:r>
              <w:t> </w:t>
            </w:r>
          </w:p>
        </w:tc>
        <w:tc>
          <w:tcPr>
            <w:tcW w:w="1520" w:type="dxa"/>
            <w:tcBorders/>
            <w:vAlign w:val="center"/>
          </w:tcPr>
          <w:p>
            <w:pPr>
              <w:pStyle w:val="TableContents"/>
              <w:bidi w:val="0"/>
              <w:spacing w:before="0" w:after="283"/>
              <w:jc w:val="left"/>
            </w:pPr>
            <w:r>
              <w:t> </w:t>
            </w:r>
          </w:p>
        </w:tc>
        <w:tc>
          <w:tcPr>
            <w:tcW w:w="2815" w:type="dxa"/>
            <w:gridSpan w:val="2"/>
            <w:tcBorders/>
            <w:vAlign w:val="center"/>
          </w:tcPr>
          <w:p>
            <w:pPr>
              <w:pStyle w:val="TableContents"/>
              <w:bidi w:val="0"/>
              <w:spacing w:before="0" w:after="283"/>
              <w:jc w:val="left"/>
            </w:pPr>
            <w:r>
              <w:t> </w:t>
            </w:r>
          </w:p>
        </w:tc>
        <w:tc>
          <w:tcPr>
            <w:tcW w:w="75" w:type="dxa"/>
            <w:tcBorders/>
            <w:vAlign w:val="center"/>
          </w:tcPr>
          <w:p>
            <w:pPr>
              <w:pStyle w:val="TableContents"/>
              <w:bidi w:val="0"/>
              <w:spacing w:before="0" w:after="283"/>
              <w:jc w:val="left"/>
            </w:pPr>
            <w:r>
              <w:t> </w:t>
            </w:r>
          </w:p>
        </w:tc>
      </w:tr>
      <w:tr>
        <w:tc>
          <w:tcPr>
            <w:tcW w:w="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5, 2026</w:t>
            </w:r>
          </w:p>
        </w:tc>
        <w:tc>
          <w:tcPr>
            <w:tcW w:w="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R. Kraus        </w:t>
            </w:r>
          </w:p>
        </w:tc>
        <w:tc>
          <w:tcPr>
            <w:tcW w:w="75" w:type="dxa"/>
            <w:tcBorders/>
            <w:vAlign w:val="center"/>
          </w:tcPr>
          <w:p>
            <w:pPr>
              <w:pStyle w:val="TableContents"/>
              <w:bidi w:val="0"/>
              <w:spacing w:before="0" w:after="283"/>
              <w:jc w:val="left"/>
            </w:pPr>
            <w:r>
              <w:t> </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410" w:type="dxa"/>
            <w:tcBorders/>
            <w:vAlign w:val="center"/>
          </w:tcPr>
          <w:p>
            <w:pPr>
              <w:pStyle w:val="TableContents"/>
              <w:bidi w:val="0"/>
              <w:spacing w:before="0" w:after="0"/>
              <w:ind w:left="0" w:right="0" w:hanging="0"/>
              <w:jc w:val="left"/>
            </w:pPr>
            <w: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75" w:type="dxa"/>
            <w:tcBorders/>
            <w:vAlign w:val="center"/>
          </w:tcPr>
          <w:p>
            <w:pPr>
              <w:pStyle w:val="TableContents"/>
              <w:bidi w:val="0"/>
              <w:spacing w:before="0" w:after="283"/>
              <w:jc w:val="left"/>
            </w:pPr>
            <w:r>
              <w:t> </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410" w:type="dxa"/>
            <w:tcBorders/>
            <w:vAlign w:val="center"/>
          </w:tcPr>
          <w:p>
            <w:pPr>
              <w:pStyle w:val="TableContents"/>
              <w:bidi w:val="0"/>
              <w:spacing w:before="0" w:after="0"/>
              <w:ind w:left="0" w:right="0" w:hanging="0"/>
              <w:jc w:val="left"/>
            </w:pPr>
            <w: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w:t>
            </w:r>
          </w:p>
        </w:tc>
        <w:tc>
          <w:tcPr>
            <w:tcW w:w="75" w:type="dxa"/>
            <w:tcBorders/>
            <w:vAlign w:val="center"/>
          </w:tcPr>
          <w:p>
            <w:pPr>
              <w:pStyle w:val="TableContents"/>
              <w:bidi w:val="0"/>
              <w:spacing w:before="0" w:after="283"/>
              <w:jc w:val="left"/>
            </w:pPr>
            <w:r>
              <w:t> </w:t>
            </w:r>
          </w:p>
        </w:tc>
      </w:tr>
      <w:tr>
        <w:tc>
          <w:tcPr>
            <w:tcW w:w="470" w:type="dxa"/>
            <w:tcBorders/>
            <w:vAlign w:val="center"/>
          </w:tcPr>
          <w:p>
            <w:pPr>
              <w:pStyle w:val="TableContents"/>
              <w:bidi w:val="0"/>
              <w:spacing w:before="0" w:after="0"/>
              <w:ind w:left="0" w:right="0" w:hanging="0"/>
              <w:jc w:val="left"/>
            </w:pPr>
            <w:r>
              <w:t> </w:t>
            </w:r>
          </w:p>
        </w:tc>
        <w:tc>
          <w:tcPr>
            <w:tcW w:w="1520" w:type="dxa"/>
            <w:tcBorders/>
            <w:vAlign w:val="center"/>
          </w:tcPr>
          <w:p>
            <w:pPr>
              <w:pStyle w:val="TableContents"/>
              <w:bidi w:val="0"/>
              <w:spacing w:before="0" w:after="0"/>
              <w:ind w:left="0" w:right="0" w:hanging="0"/>
              <w:jc w:val="left"/>
            </w:pPr>
            <w:r>
              <w:t> </w:t>
            </w:r>
          </w:p>
        </w:tc>
        <w:tc>
          <w:tcPr>
            <w:tcW w:w="410" w:type="dxa"/>
            <w:tcBorders/>
            <w:vAlign w:val="center"/>
          </w:tcPr>
          <w:p>
            <w:pPr>
              <w:pStyle w:val="TableContents"/>
              <w:bidi w:val="0"/>
              <w:spacing w:before="0" w:after="0"/>
              <w:ind w:left="0" w:right="0" w:hanging="0"/>
              <w:jc w:val="left"/>
            </w:pPr>
            <w:r>
              <w:t> </w:t>
            </w:r>
          </w:p>
        </w:tc>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jc w:val="center"/>
        <w:rPr>
          <w:rFonts w:ascii="Times New Roman" w:hAnsi="Times New Roman"/>
          <w:sz w:val="20"/>
        </w:rPr>
      </w:pPr>
      <w:r>
        <w:rPr>
          <w:rFonts w:ascii="Times New Roman" w:hAnsi="Times New Roman"/>
          <w:sz w:val="20"/>
        </w:rPr>
        <w:t xml:space="preserve">47 </w:t>
      </w:r>
    </w:p>
    <w:p>
      <w:pPr>
        <w:pStyle w:val="TextBody"/>
        <w:bidi w:val="0"/>
        <w:spacing w:before="0" w:after="0"/>
        <w:ind w:left="0" w:right="0" w:hanging="0"/>
        <w:jc w:val="right"/>
        <w:rPr>
          <w:rFonts w:ascii="Times New Roman;Times;serif" w:hAnsi="Times New Roman;Times;serif"/>
          <w:b/>
          <w:sz w:val="20"/>
        </w:rPr>
      </w:pPr>
      <w:bookmarkStart w:id="36" w:name="ex_1011351.htm"/>
      <w:bookmarkStart w:id="37" w:name="ksex_1011351"/>
      <w:bookmarkEnd w:id="36"/>
      <w:bookmarkEnd w:id="37"/>
      <w:r>
        <w:rPr>
          <w:rFonts w:ascii="Times New Roman;Times;serif" w:hAnsi="Times New Roman;Times;serif"/>
          <w:b/>
          <w:sz w:val="20"/>
        </w:rPr>
        <w:t>EXHIBIT 31.1</w:t>
      </w:r>
      <w:r>
        <w:br w:type="page"/>
      </w:r>
    </w:p>
    <w:p>
      <w:pPr>
        <w:pStyle w:val="TextBody"/>
        <w:bidi w:val="0"/>
        <w:spacing w:before="0" w:after="0"/>
        <w:ind w:left="0" w:right="0" w:hanging="0"/>
        <w:jc w:val="righ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Byron Foster, certify that:</w:t>
      </w:r>
    </w:p>
    <w:p>
      <w:pPr>
        <w:pStyle w:val="TextBody"/>
        <w:bidi w:val="0"/>
        <w:spacing w:before="0" w:after="0"/>
        <w:ind w:left="0" w:right="0" w:firstLine="720"/>
        <w:jc w:val="left"/>
      </w:pPr>
      <w:r>
        <w:t>    </w:t>
      </w:r>
    </w:p>
    <w:tbl>
      <w:tblPr>
        <w:tblW w:w="6250" w:type="dxa"/>
        <w:jc w:val="left"/>
        <w:tblInd w:w="0" w:type="dxa"/>
        <w:tblLayout w:type="fixed"/>
        <w:tblCellMar>
          <w:top w:w="0" w:type="dxa"/>
          <w:left w:w="0" w:type="dxa"/>
          <w:bottom w:w="0" w:type="dxa"/>
          <w:right w:w="0" w:type="dxa"/>
        </w:tblCellMar>
      </w:tblPr>
      <w:tblGrid>
        <w:gridCol w:w="215"/>
        <w:gridCol w:w="6035"/>
      </w:tblGrid>
      <w:tr>
        <w:tc>
          <w:tcPr>
            <w:tcW w:w="2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w:t>
            </w:r>
          </w:p>
        </w:tc>
        <w:tc>
          <w:tcPr>
            <w:tcW w:w="60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Dana Incorporated;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59"/>
        <w:gridCol w:w="10046"/>
      </w:tblGrid>
      <w:tr>
        <w:tc>
          <w:tcPr>
            <w:tcW w:w="1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2. </w:t>
            </w:r>
          </w:p>
        </w:tc>
        <w:tc>
          <w:tcPr>
            <w:tcW w:w="100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64"/>
        <w:gridCol w:w="10041"/>
      </w:tblGrid>
      <w:tr>
        <w:tc>
          <w:tcPr>
            <w:tcW w:w="1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3. </w:t>
            </w:r>
          </w:p>
        </w:tc>
        <w:tc>
          <w:tcPr>
            <w:tcW w:w="100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57"/>
        <w:gridCol w:w="10048"/>
      </w:tblGrid>
      <w:tr>
        <w:tc>
          <w:tcPr>
            <w:tcW w:w="1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4. </w:t>
            </w:r>
          </w:p>
        </w:tc>
        <w:tc>
          <w:tcPr>
            <w:tcW w:w="100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firstLine="435"/>
        <w:jc w:val="left"/>
      </w:pPr>
      <w: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c>
          <w:tcPr>
            <w:tcW w:w="6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c>
          <w:tcPr>
            <w:tcW w:w="60"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c>
          <w:tcPr>
            <w:tcW w:w="60"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c>
          <w:tcPr>
            <w:tcW w:w="60"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firstLine="450"/>
        <w:jc w:val="left"/>
      </w:pPr>
      <w: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c>
          <w:tcPr>
            <w:tcW w:w="6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c>
          <w:tcPr>
            <w:tcW w:w="60" w:type="dxa"/>
            <w:tcBorders/>
            <w:vAlign w:val="center"/>
          </w:tcPr>
          <w:p>
            <w:pPr>
              <w:pStyle w:val="TableContents"/>
              <w:bidi w:val="0"/>
              <w:spacing w:before="0" w:after="283"/>
              <w:jc w:val="left"/>
            </w:pPr>
            <w:r>
              <w:t> </w:t>
            </w:r>
          </w:p>
        </w:tc>
        <w:tc>
          <w:tcPr>
            <w:tcW w:w="22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2026</w:t>
      </w:r>
    </w:p>
    <w:p>
      <w:pPr>
        <w:pStyle w:val="TextBody"/>
        <w:bidi w:val="0"/>
        <w:spacing w:before="0" w:after="0"/>
        <w:ind w:left="0" w:right="0" w:hanging="0"/>
        <w:jc w:val="left"/>
      </w:pPr>
      <w:r>
        <w:t> </w:t>
      </w:r>
    </w:p>
    <w:tbl>
      <w:tblPr>
        <w:tblW w:w="3230" w:type="dxa"/>
        <w:jc w:val="left"/>
        <w:tblInd w:w="0" w:type="dxa"/>
        <w:tblLayout w:type="fixed"/>
        <w:tblCellMar>
          <w:top w:w="0" w:type="dxa"/>
          <w:left w:w="0" w:type="dxa"/>
          <w:bottom w:w="0" w:type="dxa"/>
          <w:right w:w="0" w:type="dxa"/>
        </w:tblCellMar>
      </w:tblPr>
      <w:tblGrid>
        <w:gridCol w:w="75"/>
        <w:gridCol w:w="3080"/>
        <w:gridCol w:w="75"/>
      </w:tblGrid>
      <w:tr>
        <w:tc>
          <w:tcPr>
            <w:tcW w:w="75" w:type="dxa"/>
            <w:tcBorders/>
            <w:vAlign w:val="center"/>
          </w:tcPr>
          <w:p>
            <w:pPr>
              <w:pStyle w:val="TableContents"/>
              <w:bidi w:val="0"/>
              <w:spacing w:before="0" w:after="0"/>
              <w:ind w:left="0" w:right="0" w:hanging="0"/>
              <w:jc w:val="left"/>
            </w:pPr>
            <w: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Byron Foster</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0"/>
              <w:ind w:left="0" w:right="0" w:hanging="0"/>
              <w:jc w:val="left"/>
            </w:pPr>
            <w: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Foster</w:t>
            </w:r>
          </w:p>
        </w:tc>
        <w:tc>
          <w:tcPr>
            <w:tcW w:w="75"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0"/>
              <w:ind w:left="0" w:right="0" w:hanging="0"/>
              <w:jc w:val="left"/>
            </w:pPr>
            <w: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b/>
          <w:sz w:val="20"/>
        </w:rPr>
      </w:pPr>
      <w:bookmarkStart w:id="38" w:name="ex_1011352.htm"/>
      <w:bookmarkStart w:id="39" w:name="ksex_1011352"/>
      <w:bookmarkEnd w:id="38"/>
      <w:bookmarkEnd w:id="39"/>
      <w:r>
        <w:rPr>
          <w:rFonts w:ascii="Times New Roman;Times;serif" w:hAnsi="Times New Roman;Times;serif"/>
          <w:b/>
          <w:sz w:val="20"/>
        </w:rPr>
        <w:t>EXHIBIT 31.2</w:t>
      </w:r>
      <w:r>
        <w:br w:type="page"/>
      </w:r>
    </w:p>
    <w:p>
      <w:pPr>
        <w:pStyle w:val="TextBody"/>
        <w:bidi w:val="0"/>
        <w:spacing w:before="0" w:after="0"/>
        <w:ind w:left="0" w:right="0" w:hanging="0"/>
        <w:jc w:val="righ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Timothy R. Kraus, certify that:</w:t>
      </w:r>
    </w:p>
    <w:p>
      <w:pPr>
        <w:pStyle w:val="TextBody"/>
        <w:bidi w:val="0"/>
        <w:spacing w:before="0" w:after="0"/>
        <w:ind w:left="0" w:right="0" w:hanging="0"/>
        <w:jc w:val="left"/>
      </w:pPr>
      <w:r>
        <w:t>    </w:t>
      </w:r>
    </w:p>
    <w:tbl>
      <w:tblPr>
        <w:tblW w:w="6250" w:type="dxa"/>
        <w:jc w:val="left"/>
        <w:tblInd w:w="0" w:type="dxa"/>
        <w:tblLayout w:type="fixed"/>
        <w:tblCellMar>
          <w:top w:w="0" w:type="dxa"/>
          <w:left w:w="0" w:type="dxa"/>
          <w:bottom w:w="0" w:type="dxa"/>
          <w:right w:w="0" w:type="dxa"/>
        </w:tblCellMar>
      </w:tblPr>
      <w:tblGrid>
        <w:gridCol w:w="215"/>
        <w:gridCol w:w="6035"/>
      </w:tblGrid>
      <w:tr>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t>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Dana Incorporated;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59"/>
        <w:gridCol w:w="10046"/>
      </w:tblGrid>
      <w:tr>
        <w:tc>
          <w:tcPr>
            <w:tcW w:w="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w:t>
            </w:r>
          </w:p>
        </w:tc>
        <w:tc>
          <w:tcPr>
            <w:tcW w:w="10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64"/>
        <w:gridCol w:w="10041"/>
      </w:tblGrid>
      <w:tr>
        <w:tc>
          <w:tcPr>
            <w:tcW w:w="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w:t>
            </w:r>
          </w:p>
        </w:tc>
        <w:tc>
          <w:tcPr>
            <w:tcW w:w="10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57"/>
        <w:gridCol w:w="10048"/>
      </w:tblGrid>
      <w:tr>
        <w:tc>
          <w:tcPr>
            <w:tcW w:w="1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w:t>
            </w:r>
          </w:p>
        </w:tc>
        <w:tc>
          <w:tcPr>
            <w:tcW w:w="100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c>
          <w:tcPr>
            <w:tcW w:w="60" w:type="dxa"/>
            <w:tcBorders/>
            <w:vAlign w:val="center"/>
          </w:tcPr>
          <w:p>
            <w:pPr>
              <w:pStyle w:val="TableContents"/>
              <w:bidi w:val="0"/>
              <w:spacing w:before="0" w:after="283"/>
              <w:jc w:val="left"/>
            </w:pPr>
            <w: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c>
          <w:tcPr>
            <w:tcW w:w="60"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c>
          <w:tcPr>
            <w:tcW w:w="60" w:type="dxa"/>
            <w:tcBorders/>
            <w:vAlign w:val="center"/>
          </w:tcPr>
          <w:p>
            <w:pPr>
              <w:pStyle w:val="TableContents"/>
              <w:bidi w:val="0"/>
              <w:spacing w:before="0" w:after="283"/>
              <w:jc w:val="left"/>
            </w:pPr>
            <w: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c>
          <w:tcPr>
            <w:tcW w:w="60"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144"/>
        <w:gridCol w:w="10061"/>
      </w:tblGrid>
      <w:t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c>
          <w:tcPr>
            <w:tcW w:w="60" w:type="dxa"/>
            <w:tcBorders/>
            <w:vAlign w:val="center"/>
          </w:tcPr>
          <w:p>
            <w:pPr>
              <w:pStyle w:val="TableContents"/>
              <w:bidi w:val="0"/>
              <w:spacing w:before="0" w:after="283"/>
              <w:jc w:val="left"/>
            </w:pPr>
            <w: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c>
          <w:tcPr>
            <w:tcW w:w="60" w:type="dxa"/>
            <w:tcBorders/>
            <w:vAlign w:val="center"/>
          </w:tcPr>
          <w:p>
            <w:pPr>
              <w:pStyle w:val="TableContents"/>
              <w:bidi w:val="0"/>
              <w:spacing w:before="0" w:after="283"/>
              <w:jc w:val="left"/>
            </w:pPr>
            <w: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before="0" w:after="0"/>
        <w:ind w:left="0" w:right="0" w:hanging="0"/>
        <w:jc w:val="left"/>
      </w:pPr>
      <w:r>
        <w:t> </w:t>
      </w:r>
    </w:p>
    <w:tbl>
      <w:tblPr>
        <w:tblW w:w="4430" w:type="dxa"/>
        <w:jc w:val="left"/>
        <w:tblInd w:w="0" w:type="dxa"/>
        <w:tblLayout w:type="fixed"/>
        <w:tblCellMar>
          <w:top w:w="0" w:type="dxa"/>
          <w:left w:w="0" w:type="dxa"/>
          <w:bottom w:w="0" w:type="dxa"/>
          <w:right w:w="0" w:type="dxa"/>
        </w:tblCellMar>
      </w:tblPr>
      <w:tblGrid>
        <w:gridCol w:w="60"/>
        <w:gridCol w:w="4310"/>
        <w:gridCol w:w="60"/>
      </w:tblGrid>
      <w:tr>
        <w:tc>
          <w:tcPr>
            <w:tcW w:w="60" w:type="dxa"/>
            <w:tcBorders/>
            <w:vAlign w:val="center"/>
          </w:tcPr>
          <w:p>
            <w:pPr>
              <w:pStyle w:val="TableContents"/>
              <w:bidi w:val="0"/>
              <w:spacing w:before="0" w:after="0"/>
              <w:ind w:left="0" w:right="0" w:hanging="0"/>
              <w:jc w:val="left"/>
            </w:pPr>
            <w:r>
              <w:t> </w:t>
            </w:r>
          </w:p>
        </w:tc>
        <w:tc>
          <w:tcPr>
            <w:tcW w:w="4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Timothy R. Kraus</w:t>
            </w:r>
          </w:p>
        </w:tc>
        <w:tc>
          <w:tcPr>
            <w:tcW w:w="60" w:type="dxa"/>
            <w:tcBorders/>
            <w:vAlign w:val="center"/>
          </w:tcPr>
          <w:p>
            <w:pPr>
              <w:pStyle w:val="TableContents"/>
              <w:bidi w:val="0"/>
              <w:spacing w:before="0" w:after="283"/>
              <w:jc w:val="left"/>
            </w:pPr>
            <w:r>
              <w:t> </w:t>
            </w:r>
          </w:p>
        </w:tc>
      </w:tr>
      <w:tr>
        <w:tc>
          <w:tcPr>
            <w:tcW w:w="60" w:type="dxa"/>
            <w:tcBorders/>
            <w:vAlign w:val="center"/>
          </w:tcPr>
          <w:p>
            <w:pPr>
              <w:pStyle w:val="TableContents"/>
              <w:bidi w:val="0"/>
              <w:spacing w:before="0" w:after="0"/>
              <w:ind w:left="0" w:right="0" w:hanging="0"/>
              <w:jc w:val="left"/>
            </w:pPr>
            <w:r>
              <w:t> </w:t>
            </w:r>
          </w:p>
        </w:tc>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60" w:type="dxa"/>
            <w:tcBorders/>
            <w:vAlign w:val="center"/>
          </w:tcPr>
          <w:p>
            <w:pPr>
              <w:pStyle w:val="TableContents"/>
              <w:bidi w:val="0"/>
              <w:spacing w:before="0" w:after="283"/>
              <w:jc w:val="left"/>
            </w:pPr>
            <w:r>
              <w:t> </w:t>
            </w:r>
          </w:p>
        </w:tc>
      </w:tr>
      <w:tr>
        <w:tc>
          <w:tcPr>
            <w:tcW w:w="60" w:type="dxa"/>
            <w:tcBorders/>
            <w:vAlign w:val="center"/>
          </w:tcPr>
          <w:p>
            <w:pPr>
              <w:pStyle w:val="TableContents"/>
              <w:bidi w:val="0"/>
              <w:spacing w:before="0" w:after="0"/>
              <w:ind w:left="0" w:right="0" w:hanging="0"/>
              <w:jc w:val="left"/>
            </w:pPr>
            <w:r>
              <w:t> </w:t>
            </w:r>
          </w:p>
        </w:tc>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60" w:type="dxa"/>
            <w:tcBorders/>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right"/>
        <w:rPr>
          <w:rFonts w:ascii="Times New Roman;Times;serif" w:hAnsi="Times New Roman;Times;serif"/>
          <w:b/>
          <w:sz w:val="20"/>
        </w:rPr>
      </w:pPr>
      <w:bookmarkStart w:id="40" w:name="ex_1011353.htm"/>
      <w:bookmarkStart w:id="41" w:name="ksex_1011353"/>
      <w:bookmarkEnd w:id="40"/>
      <w:bookmarkEnd w:id="41"/>
      <w:r>
        <w:rPr>
          <w:rFonts w:ascii="Times New Roman;Times;serif" w:hAnsi="Times New Roman;Times;serif"/>
          <w:b/>
          <w:sz w:val="20"/>
        </w:rPr>
        <w:t>EXHIBIT 32</w:t>
      </w:r>
      <w:r>
        <w:br w:type="page"/>
      </w:r>
    </w:p>
    <w:p>
      <w:pPr>
        <w:pStyle w:val="TextBody"/>
        <w:bidi w:val="0"/>
        <w:spacing w:before="0" w:after="0"/>
        <w:ind w:left="0" w:right="0" w:hanging="0"/>
        <w:jc w:val="right"/>
      </w:pPr>
      <w: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18 U.S.C. Section 1350</w:t>
      </w:r>
    </w:p>
    <w:p>
      <w:pPr>
        <w:pStyle w:val="TextBody"/>
        <w:bidi w:val="0"/>
        <w:spacing w:before="0" w:after="0"/>
        <w:ind w:left="0" w:right="0" w:hanging="0"/>
        <w:jc w:val="center"/>
      </w:pPr>
      <w: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Quarterly Report of Dana Incorporated (Dana) on Form 10-Q for the three months ended </w:t>
      </w:r>
      <w:bookmarkStart w:id="42" w:name="led46696F2020761596725774295"/>
      <w:bookmarkEnd w:id="42"/>
      <w:r>
        <w:rPr>
          <w:rFonts w:ascii="Times New Roman;Times;serif" w:hAnsi="Times New Roman;Times;serif"/>
          <w:sz w:val="20"/>
        </w:rPr>
        <w:t>September 30, 2026, as filed with the Securities and Exchange Commission on the date hereof (the Report), each of the undersigned officers of Dana certifies pursuant to 18 U.S.C. Section 1350, as adopted pursuant to Section 906 of the Sarbanes-Oxley Act of 2002, that to such officer's knowledge:</w:t>
      </w:r>
    </w:p>
    <w:p>
      <w:pPr>
        <w:pStyle w:val="TextBody"/>
        <w:bidi w:val="0"/>
        <w:spacing w:before="0" w:after="0"/>
        <w:ind w:left="0" w:right="0" w:firstLine="360"/>
        <w:jc w:val="left"/>
      </w:pPr>
      <w:r>
        <w:t> </w:t>
      </w:r>
    </w:p>
    <w:tbl>
      <w:tblPr>
        <w:tblW w:w="9880" w:type="dxa"/>
        <w:jc w:val="left"/>
        <w:tblInd w:w="0" w:type="dxa"/>
        <w:tblLayout w:type="fixed"/>
        <w:tblCellMar>
          <w:top w:w="0" w:type="dxa"/>
          <w:left w:w="0" w:type="dxa"/>
          <w:bottom w:w="0" w:type="dxa"/>
          <w:right w:w="0" w:type="dxa"/>
        </w:tblCellMar>
      </w:tblPr>
      <w:tblGrid>
        <w:gridCol w:w="60"/>
        <w:gridCol w:w="245"/>
        <w:gridCol w:w="9575"/>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firstLine="360"/>
        <w:jc w:val="left"/>
      </w:pPr>
      <w:r>
        <w:t> </w:t>
      </w:r>
    </w:p>
    <w:tbl>
      <w:tblPr>
        <w:tblW w:w="10205" w:type="dxa"/>
        <w:jc w:val="left"/>
        <w:tblInd w:w="0" w:type="dxa"/>
        <w:tblLayout w:type="fixed"/>
        <w:tblCellMar>
          <w:top w:w="0" w:type="dxa"/>
          <w:left w:w="0" w:type="dxa"/>
          <w:bottom w:w="0" w:type="dxa"/>
          <w:right w:w="0" w:type="dxa"/>
        </w:tblCellMar>
      </w:tblPr>
      <w:tblGrid>
        <w:gridCol w:w="60"/>
        <w:gridCol w:w="221"/>
        <w:gridCol w:w="9924"/>
      </w:tblGrid>
      <w:tr>
        <w:tc>
          <w:tcPr>
            <w:tcW w:w="60" w:type="dxa"/>
            <w:tcBorders/>
            <w:vAlign w:val="center"/>
          </w:tcPr>
          <w:p>
            <w:pPr>
              <w:pStyle w:val="TableContents"/>
              <w:bidi w:val="0"/>
              <w:spacing w:before="0" w:after="283"/>
              <w:jc w:val="left"/>
            </w:pPr>
            <w:r>
              <w:t> </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Dana as of the dates and for the periods expressed in the Report.</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p>
      <w:pPr>
        <w:pStyle w:val="TextBody"/>
        <w:bidi w:val="0"/>
        <w:spacing w:before="0" w:after="0"/>
        <w:ind w:left="0" w:right="0" w:hanging="0"/>
        <w:jc w:val="left"/>
      </w:pPr>
      <w:r>
        <w:t> </w:t>
      </w:r>
    </w:p>
    <w:p>
      <w:pPr>
        <w:pStyle w:val="TextBody"/>
        <w:bidi w:val="0"/>
        <w:spacing w:before="0" w:after="0"/>
        <w:ind w:left="0" w:right="0" w:hanging="0"/>
        <w:jc w:val="left"/>
      </w:pPr>
      <w:r>
        <w:t> </w:t>
      </w:r>
    </w:p>
    <w:tbl>
      <w:tblPr>
        <w:tblW w:w="4370" w:type="dxa"/>
        <w:jc w:val="left"/>
        <w:tblInd w:w="0" w:type="dxa"/>
        <w:tblLayout w:type="fixed"/>
        <w:tblCellMar>
          <w:top w:w="0" w:type="dxa"/>
          <w:left w:w="0" w:type="dxa"/>
          <w:bottom w:w="0" w:type="dxa"/>
          <w:right w:w="0" w:type="dxa"/>
        </w:tblCellMar>
      </w:tblPr>
      <w:tblGrid>
        <w:gridCol w:w="4310"/>
        <w:gridCol w:w="60"/>
      </w:tblGrid>
      <w:tr>
        <w:tc>
          <w:tcPr>
            <w:tcW w:w="43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Byron Foster</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Byron Foster</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pPr>
            <w:r>
              <w:t> </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Timothy R. Kraus</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R. Kraus</w:t>
            </w:r>
          </w:p>
        </w:tc>
        <w:tc>
          <w:tcPr>
            <w:tcW w:w="60" w:type="dxa"/>
            <w:tcBorders/>
            <w:vAlign w:val="center"/>
          </w:tcPr>
          <w:p>
            <w:pPr>
              <w:pStyle w:val="TableContents"/>
              <w:bidi w:val="0"/>
              <w:spacing w:before="0" w:after="0"/>
              <w:ind w:left="0" w:right="0" w:hanging="0"/>
              <w:jc w:val="left"/>
            </w:pPr>
            <w:r>
              <w:t> </w:t>
            </w:r>
          </w:p>
        </w:tc>
      </w:tr>
      <w:tr>
        <w:tc>
          <w:tcPr>
            <w:tcW w:w="4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60" w:type="dxa"/>
            <w:tcBorders/>
            <w:vAlign w:val="center"/>
          </w:tcPr>
          <w:p>
            <w:pPr>
              <w:pStyle w:val="TableContents"/>
              <w:bidi w:val="0"/>
              <w:spacing w:before="0" w:after="0"/>
              <w:ind w:left="0" w:right="0" w:hanging="0"/>
              <w:jc w:val="left"/>
            </w:pPr>
            <w:r>
              <w:t> </w:t>
            </w:r>
          </w:p>
        </w:tc>
      </w:tr>
    </w:tbl>
    <w:p>
      <w:pPr>
        <w:pStyle w:val="TextBody"/>
        <w:bidi w:val="0"/>
        <w:spacing w:before="0" w:after="0"/>
        <w:ind w:left="0" w:right="0" w:hanging="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6780/000119312526300962/d81079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28103</Words>
  <Characters>149128</Characters>
  <CharactersWithSpaces>182308</CharactersWithSpaces>
  <Paragraphs>13586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