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Eaton Corporation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Dana Incorporated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001-01063</w:t>
      </w:r>
    </w:p>
    <w:p>
      <w:pPr>
        <w:spacing w:after="0" w:line="203" w:lineRule="exact"/>
        <w:rPr>
          <w:sz w:val="24"/>
          <w:szCs w:val="24"/>
          <w:color w:val="auto"/>
        </w:rPr>
      </w:pPr>
    </w:p>
    <w:p>
      <w:pPr>
        <w:ind w:left="9740"/>
        <w:spacing w:after="0"/>
        <w:rPr>
          <w:sz w:val="20"/>
          <w:szCs w:val="20"/>
          <w:color w:val="auto"/>
        </w:rPr>
      </w:pPr>
      <w:r>
        <w:rPr>
          <w:rFonts w:ascii="Times New Roman" w:cs="Times New Roman" w:eastAsia="Times New Roman" w:hAnsi="Times New Roman"/>
          <w:sz w:val="17"/>
          <w:szCs w:val="17"/>
          <w:b w:val="1"/>
          <w:bCs w:val="1"/>
          <w:color w:val="auto"/>
        </w:rPr>
        <w:t>Date: June 11, 2026</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document is an email sent on June 11, 2026 by Antonio Galvao, President Mobility Group of Eaton Corporation, to select employees in connection with the announcement of the proposed transaction with Dana Incorporated.</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Earlier today, CEO Paulo Ruiz announced Eaton’s plans to combine Mobility Group and Dana Incorporated. This will create a newly combined business that is expected to generate approximately $11B in revenues and will be fully dedicated to serving the automotive and commercial vehicle markets and aftermarket.</w:t>
      </w:r>
    </w:p>
    <w:p>
      <w:pPr>
        <w:spacing w:after="0" w:line="176"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While we have always acknowledged that the spin-off could attract interest from third parties, I appreciate that the news may still feel surprising. As we move forward in the planning process to combine the companies, which we expect to complete in Q1 2027, we will continue to learn more about one another’s organizations and the significant opportunities that exist because of our collective strengths. What I personally feel very positive about is that it </w:t>
      </w:r>
      <w:r>
        <w:rPr>
          <w:rFonts w:ascii="Times New Roman" w:cs="Times New Roman" w:eastAsia="Times New Roman" w:hAnsi="Times New Roman"/>
          <w:sz w:val="18"/>
          <w:szCs w:val="18"/>
          <w:b w:val="1"/>
          <w:bCs w:val="1"/>
          <w:color w:val="auto"/>
        </w:rPr>
        <w:t>positions us strongly around two of the most critical drivers of long-term success: a compelling, broad portfolio and the opportunity to help shape a strong people-centered culture that blends the best of both companies.</w:t>
      </w:r>
    </w:p>
    <w:p>
      <w:pPr>
        <w:spacing w:after="0" w:line="183"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From a portfolio perspective, a combined Mobility Group and Dana will create a diversified business across both commercial and light vehicle markets and expand aftermarket opportunities. This means that we will have </w:t>
      </w:r>
      <w:r>
        <w:rPr>
          <w:rFonts w:ascii="Times New Roman" w:cs="Times New Roman" w:eastAsia="Times New Roman" w:hAnsi="Times New Roman"/>
          <w:sz w:val="18"/>
          <w:szCs w:val="18"/>
          <w:b w:val="1"/>
          <w:bCs w:val="1"/>
          <w:color w:val="auto"/>
        </w:rPr>
        <w:t>access to a larger addressable market and be even better positioned to achieve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growth strategies that are essential to our long-term success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new company’s senior management will have leadership from Eaton and Dana. This will do more than shape how we will lead and serve customers—it will enable a blending of the cultures, capabilities and strengths that have made each company successful to create the foundation for an exciting future. I am especially excited that </w:t>
      </w:r>
      <w:r>
        <w:rPr>
          <w:rFonts w:ascii="Times New Roman" w:cs="Times New Roman" w:eastAsia="Times New Roman" w:hAnsi="Times New Roman"/>
          <w:sz w:val="18"/>
          <w:szCs w:val="18"/>
          <w:b w:val="1"/>
          <w:bCs w:val="1"/>
          <w:color w:val="auto"/>
        </w:rPr>
        <w:t>Erin Rowse, Eaton's current SVP HR, Industrial Sector, will take on the role of Chief Human Resources Officer</w:t>
      </w:r>
      <w:r>
        <w:rPr>
          <w:rFonts w:ascii="Times New Roman" w:cs="Times New Roman" w:eastAsia="Times New Roman" w:hAnsi="Times New Roman"/>
          <w:sz w:val="18"/>
          <w:szCs w:val="18"/>
          <w:color w:val="auto"/>
        </w:rPr>
        <w:t xml:space="preserve"> upon the transaction’s close. Known for her dedication to developing leaders and building talent capability, Erin appreciates firsthand Mobility Group’s focus on collaboration, leadership development and growth mindset. She will help carry forward, and build on, the culture momentum we all care deeply about.</w:t>
      </w:r>
    </w:p>
    <w:p>
      <w:pPr>
        <w:spacing w:after="0" w:line="183" w:lineRule="exact"/>
        <w:rPr>
          <w:sz w:val="24"/>
          <w:szCs w:val="24"/>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 know you have many questions about the announcement, Dana, and what comes next, so please join one of the virtual information sessions linked below as we will share what we can at this early phase. You should also bookmark our </w:t>
      </w:r>
      <w:r>
        <w:rPr>
          <w:rFonts w:ascii="Times New Roman" w:cs="Times New Roman" w:eastAsia="Times New Roman" w:hAnsi="Times New Roman"/>
          <w:sz w:val="18"/>
          <w:szCs w:val="18"/>
          <w:u w:val="single" w:color="auto"/>
          <w:color w:val="auto"/>
        </w:rPr>
        <w:t>Mobility Group Transition Hub</w:t>
      </w:r>
      <w:r>
        <w:rPr>
          <w:rFonts w:ascii="Times New Roman" w:cs="Times New Roman" w:eastAsia="Times New Roman" w:hAnsi="Times New Roman"/>
          <w:sz w:val="18"/>
          <w:szCs w:val="18"/>
          <w:color w:val="auto"/>
        </w:rPr>
        <w:t xml:space="preserve"> SharePoint site as we will use this central location to house all internal information, updates, and resources for employees.</w:t>
      </w:r>
    </w:p>
    <w:p>
      <w:pPr>
        <w:spacing w:after="0" w:line="172"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Thank you for everything—for your patience throughout the SpinCo planning process, for remaining focused on meeting your goals in 2026, and </w:t>
      </w:r>
      <w:r>
        <w:rPr>
          <w:rFonts w:ascii="Times New Roman" w:cs="Times New Roman" w:eastAsia="Times New Roman" w:hAnsi="Times New Roman"/>
          <w:sz w:val="18"/>
          <w:szCs w:val="18"/>
          <w:b w:val="1"/>
          <w:bCs w:val="1"/>
          <w:color w:val="auto"/>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excellence I know you will bring to the new combined company that we will form with Dana</w:t>
      </w:r>
      <w:r>
        <w:rPr>
          <w:rFonts w:ascii="Times New Roman" w:cs="Times New Roman" w:eastAsia="Times New Roman" w:hAnsi="Times New Roman"/>
          <w:sz w:val="18"/>
          <w:szCs w:val="18"/>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Antonio Galvao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President, Mobility Group</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cautionary notes on forward-looking statements and other important information, please see this </w:t>
      </w:r>
      <w:r>
        <w:rPr>
          <w:rFonts w:ascii="Times New Roman" w:cs="Times New Roman" w:eastAsia="Times New Roman" w:hAnsi="Times New Roman"/>
          <w:sz w:val="18"/>
          <w:szCs w:val="18"/>
          <w:b w:val="1"/>
          <w:bCs w:val="1"/>
          <w:i w:val="1"/>
          <w:iCs w:val="1"/>
          <w:u w:val="single" w:color="auto"/>
          <w:color w:val="auto"/>
        </w:rPr>
        <w:t>link</w:t>
      </w:r>
      <w:r>
        <w:rPr>
          <w:rFonts w:ascii="Times New Roman" w:cs="Times New Roman" w:eastAsia="Times New Roman" w:hAnsi="Times New Roman"/>
          <w:sz w:val="18"/>
          <w:szCs w:val="18"/>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Notes on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Eaton’s and Dana’s stock prices; restrictions on the conduct of Eaton’s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Eaton’s and Dana’s reports filed with the Securities and Exchange Commission (the “SEC”), including Eaton’s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should also be noted that projected financial information for the combined company is based on management’s estimates, assumptions and projections and has not been prepared in conformance with the applicable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About the Transaction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Regarding 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financial measures presented in accordance with U.S. generally accepted accounting principles (“U.S. GAAP”), this communication includes certain non-GAAP financial measures (collectively, the “Non-GAAP Measures”), such as EBITDA, adjusted EBITDA, adjusted EBITDA margin, free cash flow, adjusted free cash flow and adjusted free cash flow margin.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2026-06-11T06:48:02Z</dcterms:created>
  <dcterms:modified xsi:type="dcterms:W3CDTF">2026-06-11T06:48:02Z</dcterms:modified>
</cp:coreProperties>
</file>