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n20260630_10q.htm"/>
      <w:bookmarkStart w:id="1" w:name="ksdan20260630_10q"/>
      <w:bookmarkEnd w:id="0"/>
      <w:bookmarkEnd w:id="1"/>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0"/>
        <w:ind w:left="0" w:right="0" w:hanging="0"/>
        <w:jc w:val="center"/>
        <w:rPr>
          <w:rFonts w:ascii="Times New Roman;Times;serif" w:hAnsi="Times New Roman;Times;serif"/>
          <w:color w:val="000000"/>
          <w:sz w:val="32"/>
        </w:rPr>
      </w:pPr>
      <w:r>
        <w:rPr>
          <w:rFonts w:ascii="Times New Roman;Times;serif" w:hAnsi="Times New Roman;Times;serif"/>
          <w:b/>
          <w:color w:val="000000"/>
          <w:sz w:val="32"/>
        </w:rPr>
        <w:t>Form 10-Q</w:t>
      </w:r>
      <w:r>
        <w:rPr>
          <w:rFonts w:ascii="Times New Roman;Times;serif" w:hAnsi="Times New Roman;Times;serif"/>
          <w:color w:val="000000"/>
          <w:sz w:val="32"/>
        </w:rPr>
        <w:t xml:space="preserve"> </w:t>
      </w:r>
    </w:p>
    <w:p>
      <w:pPr>
        <w:pStyle w:val="TextBody"/>
        <w:bidi w:val="0"/>
        <w:spacing w:before="0" w:after="0"/>
        <w:ind w:left="0" w:right="0" w:hanging="0"/>
        <w:jc w:val="center"/>
        <w:rPr/>
      </w:pPr>
      <w:r>
        <w:rPr/>
        <w:t> </w:t>
      </w:r>
    </w:p>
    <w:tbl>
      <w:tblPr>
        <w:tblW w:w="7728" w:type="dxa"/>
        <w:jc w:val="left"/>
        <w:tblInd w:w="0" w:type="dxa"/>
        <w:tblLayout w:type="fixed"/>
        <w:tblCellMar>
          <w:top w:w="0" w:type="dxa"/>
          <w:left w:w="0" w:type="dxa"/>
          <w:bottom w:w="0" w:type="dxa"/>
          <w:right w:w="0" w:type="dxa"/>
        </w:tblCellMar>
      </w:tblPr>
      <w:tblGrid>
        <w:gridCol w:w="230"/>
        <w:gridCol w:w="23"/>
        <w:gridCol w:w="7475"/>
      </w:tblGrid>
      <w:tr>
        <w:trPr/>
        <w:tc>
          <w:tcPr>
            <w:tcW w:w="23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74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June 30, 2026</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OR</w:t>
      </w:r>
    </w:p>
    <w:tbl>
      <w:tblPr>
        <w:tblW w:w="7765" w:type="dxa"/>
        <w:jc w:val="left"/>
        <w:tblInd w:w="0" w:type="dxa"/>
        <w:tblLayout w:type="fixed"/>
        <w:tblCellMar>
          <w:top w:w="0" w:type="dxa"/>
          <w:left w:w="0" w:type="dxa"/>
          <w:bottom w:w="0" w:type="dxa"/>
          <w:right w:w="0" w:type="dxa"/>
        </w:tblCellMar>
      </w:tblPr>
      <w:tblGrid>
        <w:gridCol w:w="290"/>
        <w:gridCol w:w="7475"/>
      </w:tblGrid>
      <w:tr>
        <w:trPr/>
        <w:tc>
          <w:tcPr>
            <w:tcW w:w="290" w:type="dxa"/>
            <w:tcBorders/>
            <w:vAlign w:val="center"/>
          </w:tcPr>
          <w:p>
            <w:pPr>
              <w:pStyle w:val="TableContents"/>
              <w:bidi w:val="0"/>
              <w:spacing w:before="0" w:after="0"/>
              <w:ind w:left="0" w:right="0" w:hanging="0"/>
              <w:jc w:val="left"/>
              <w:rPr/>
            </w:pPr>
            <w:r>
              <w:rPr/>
              <w:t xml:space="preserve">☐ </w:t>
            </w:r>
          </w:p>
        </w:tc>
        <w:tc>
          <w:tcPr>
            <w:tcW w:w="74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 File Number: 1-1063</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Dana Incorporated</w:t>
      </w:r>
    </w:p>
    <w:p>
      <w:pPr>
        <w:pStyle w:val="TextBody"/>
        <w:bidi w:val="0"/>
        <w:spacing w:before="0" w:after="0"/>
        <w:ind w:left="0" w:right="0" w:hanging="0"/>
        <w:jc w:val="center"/>
        <w:rPr>
          <w:rFonts w:ascii="Times New Roman" w:hAnsi="Times New Roman"/>
          <w:i/>
          <w:sz w:val="18"/>
        </w:rPr>
      </w:pPr>
      <w:r>
        <w:rPr>
          <w:rFonts w:ascii="Times New Roman" w:hAnsi="Times New Roman"/>
          <w:i/>
          <w:sz w:val="18"/>
        </w:rPr>
        <w:t>(Exact name of registrant as specified in its charter)</w:t>
      </w:r>
    </w:p>
    <w:p>
      <w:pPr>
        <w:pStyle w:val="TextBody"/>
        <w:bidi w:val="0"/>
        <w:spacing w:before="0" w:after="0"/>
        <w:ind w:left="0" w:right="0" w:hanging="0"/>
        <w:jc w:val="center"/>
        <w:rPr/>
      </w:pPr>
      <w:r>
        <w:rPr/>
        <w:t>  </w:t>
      </w:r>
    </w:p>
    <w:tbl>
      <w:tblPr>
        <w:tblW w:w="5170" w:type="dxa"/>
        <w:jc w:val="left"/>
        <w:tblInd w:w="0" w:type="dxa"/>
        <w:tblLayout w:type="fixed"/>
        <w:tblCellMar>
          <w:top w:w="0" w:type="dxa"/>
          <w:left w:w="0" w:type="dxa"/>
          <w:bottom w:w="28" w:type="dxa"/>
          <w:right w:w="0" w:type="dxa"/>
        </w:tblCellMar>
      </w:tblPr>
      <w:tblGrid>
        <w:gridCol w:w="1985"/>
        <w:gridCol w:w="60"/>
        <w:gridCol w:w="3125"/>
      </w:tblGrid>
      <w:tr>
        <w:trPr/>
        <w:tc>
          <w:tcPr>
            <w:tcW w:w="19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26-1531856</w:t>
            </w:r>
          </w:p>
        </w:tc>
      </w:tr>
      <w:tr>
        <w:trPr/>
        <w:tc>
          <w:tcPr>
            <w:tcW w:w="198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(State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2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(IRS Employer Identification Number)</w:t>
            </w:r>
          </w:p>
        </w:tc>
      </w:tr>
    </w:tbl>
    <w:p>
      <w:pPr>
        <w:pStyle w:val="TextBody"/>
        <w:bidi w:val="0"/>
        <w:spacing w:before="0" w:after="283"/>
        <w:jc w:val="left"/>
        <w:rPr/>
      </w:pPr>
      <w:r>
        <w:rPr/>
        <w:t> </w:t>
      </w:r>
    </w:p>
    <w:tbl>
      <w:tblPr>
        <w:tblW w:w="4210" w:type="dxa"/>
        <w:jc w:val="left"/>
        <w:tblInd w:w="0" w:type="dxa"/>
        <w:tblLayout w:type="fixed"/>
        <w:tblCellMar>
          <w:top w:w="0" w:type="dxa"/>
          <w:left w:w="0" w:type="dxa"/>
          <w:bottom w:w="28" w:type="dxa"/>
          <w:right w:w="0" w:type="dxa"/>
        </w:tblCellMar>
      </w:tblPr>
      <w:tblGrid>
        <w:gridCol w:w="3245"/>
        <w:gridCol w:w="60"/>
        <w:gridCol w:w="905"/>
      </w:tblGrid>
      <w:tr>
        <w:trPr/>
        <w:tc>
          <w:tcPr>
            <w:tcW w:w="32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3939 Technology Drive, Maumee, OH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43537</w:t>
            </w:r>
          </w:p>
        </w:tc>
      </w:tr>
      <w:tr>
        <w:trPr/>
        <w:tc>
          <w:tcPr>
            <w:tcW w:w="324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(419) 887-3000</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7545" w:type="dxa"/>
        <w:jc w:val="left"/>
        <w:tblInd w:w="0" w:type="dxa"/>
        <w:tblLayout w:type="fixed"/>
        <w:tblCellMar>
          <w:top w:w="0" w:type="dxa"/>
          <w:left w:w="0" w:type="dxa"/>
          <w:bottom w:w="28" w:type="dxa"/>
          <w:right w:w="0" w:type="dxa"/>
        </w:tblCellMar>
      </w:tblPr>
      <w:tblGrid>
        <w:gridCol w:w="2660"/>
        <w:gridCol w:w="60"/>
        <w:gridCol w:w="1445"/>
        <w:gridCol w:w="60"/>
        <w:gridCol w:w="3320"/>
      </w:tblGrid>
      <w:tr>
        <w:trPr/>
        <w:tc>
          <w:tcPr>
            <w:tcW w:w="26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2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1820"/>
        <w:gridCol w:w="230"/>
        <w:gridCol w:w="60"/>
        <w:gridCol w:w="6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0"/>
              <w:ind w:left="0" w:right="0" w:hanging="0"/>
              <w:jc w:val="left"/>
              <w:rPr/>
            </w:pPr>
            <w:r>
              <w:rPr/>
              <w:t>☐</w:t>
            </w:r>
          </w:p>
        </w:tc>
        <w:tc>
          <w:tcPr>
            <w:tcW w:w="120" w:type="dxa"/>
            <w:gridSpan w:val="2"/>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There</w:t>
      </w:r>
      <w:r>
        <w:rPr>
          <w:rFonts w:ascii="Times New Roman;Times;serif" w:hAnsi="Times New Roman;Times;serif"/>
          <w:sz w:val="20"/>
        </w:rPr>
        <w:t xml:space="preserve"> were 107,576,679 shares of the registrant’s common stock outstanding at July 17,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DANA INCORPORATED –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tbl>
      <w:tblPr>
        <w:tblW w:w="8880" w:type="dxa"/>
        <w:jc w:val="left"/>
        <w:tblInd w:w="0" w:type="dxa"/>
        <w:tblLayout w:type="fixed"/>
        <w:tblCellMar>
          <w:top w:w="0" w:type="dxa"/>
          <w:left w:w="0" w:type="dxa"/>
          <w:bottom w:w="0" w:type="dxa"/>
          <w:right w:w="0" w:type="dxa"/>
        </w:tblCellMar>
      </w:tblPr>
      <w:tblGrid>
        <w:gridCol w:w="665"/>
        <w:gridCol w:w="7280"/>
        <w:gridCol w:w="935"/>
      </w:tblGrid>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 Pages</w:t>
            </w:r>
          </w:p>
        </w:tc>
      </w:tr>
      <w:tr>
        <w:trPr/>
        <w:tc>
          <w:tcPr>
            <w:tcW w:w="7945" w:type="dxa"/>
            <w:gridSpan w:val="2"/>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sz w:val="20"/>
                </w:rPr>
                <w:t>PART I – FINANCIAL INFORMATION</w:t>
              </w:r>
            </w:hyperlink>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sz w:val="20"/>
                </w:rPr>
                <w:t>Financial Statements</w:t>
              </w:r>
            </w:hyperlink>
          </w:p>
        </w:tc>
        <w:tc>
          <w:tcPr>
            <w:tcW w:w="935" w:type="dxa"/>
            <w:tcBorders/>
            <w:vAlign w:val="center"/>
          </w:tcPr>
          <w:p>
            <w:pPr>
              <w:pStyle w:val="TableContents"/>
              <w:bidi w:val="0"/>
              <w:spacing w:before="0" w:after="0"/>
              <w:ind w:left="0" w:right="0" w:hanging="0"/>
              <w:jc w:val="center"/>
              <w:rPr/>
            </w:pPr>
            <w:hyperlink w:anchor="parti">
              <w:r>
                <w:rPr>
                  <w:rStyle w:val="InternetLink"/>
                  <w:rFonts w:ascii="Times New Roman;Times;serif" w:hAnsi="Times New Roman;Times;serif"/>
                  <w:sz w:val="20"/>
                </w:rPr>
                <w:t>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sz w:val="20"/>
                </w:rPr>
                <w:t>Consolidated Statement of Operations (Unaudited)</w:t>
              </w:r>
            </w:hyperlink>
          </w:p>
        </w:tc>
        <w:tc>
          <w:tcPr>
            <w:tcW w:w="935" w:type="dxa"/>
            <w:tcBorders/>
            <w:vAlign w:val="center"/>
          </w:tcPr>
          <w:p>
            <w:pPr>
              <w:pStyle w:val="TableContents"/>
              <w:bidi w:val="0"/>
              <w:spacing w:before="0" w:after="0"/>
              <w:ind w:left="0" w:right="0" w:hanging="0"/>
              <w:jc w:val="center"/>
              <w:rPr/>
            </w:pPr>
            <w:hyperlink w:anchor="parti">
              <w:r>
                <w:rPr>
                  <w:rStyle w:val="InternetLink"/>
                  <w:rFonts w:ascii="Times New Roman;Times;serif" w:hAnsi="Times New Roman;Times;serif"/>
                  <w:sz w:val="20"/>
                </w:rPr>
                <w:t>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hyperlink w:anchor="compinc">
              <w:r>
                <w:rPr>
                  <w:rStyle w:val="InternetLink"/>
                  <w:rFonts w:ascii="Times New Roman;Times;serif" w:hAnsi="Times New Roman;Times;serif"/>
                  <w:sz w:val="20"/>
                </w:rPr>
                <w:t>Consolidated Statement of Comprehensive Income (Unaudited)</w:t>
              </w:r>
            </w:hyperlink>
          </w:p>
        </w:tc>
        <w:tc>
          <w:tcPr>
            <w:tcW w:w="935" w:type="dxa"/>
            <w:tcBorders/>
            <w:vAlign w:val="center"/>
          </w:tcPr>
          <w:p>
            <w:pPr>
              <w:pStyle w:val="TableContents"/>
              <w:bidi w:val="0"/>
              <w:spacing w:before="0" w:after="0"/>
              <w:ind w:left="0" w:right="0" w:hanging="0"/>
              <w:jc w:val="center"/>
              <w:rPr/>
            </w:pPr>
            <w:hyperlink w:anchor="compinc">
              <w:r>
                <w:rPr>
                  <w:rStyle w:val="InternetLink"/>
                  <w:rFonts w:ascii="Times New Roman;Times;serif" w:hAnsi="Times New Roman;Times;serif"/>
                  <w:sz w:val="20"/>
                </w:rPr>
                <w:t>4</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hyperlink w:anchor="bal">
              <w:r>
                <w:rPr>
                  <w:rStyle w:val="InternetLink"/>
                  <w:rFonts w:ascii="Times New Roman;Times;serif" w:hAnsi="Times New Roman;Times;serif"/>
                  <w:sz w:val="20"/>
                </w:rPr>
                <w:t>Consolidated Balance Sheet (Unaudited)</w:t>
              </w:r>
            </w:hyperlink>
          </w:p>
        </w:tc>
        <w:tc>
          <w:tcPr>
            <w:tcW w:w="935" w:type="dxa"/>
            <w:tcBorders/>
            <w:vAlign w:val="center"/>
          </w:tcPr>
          <w:p>
            <w:pPr>
              <w:pStyle w:val="TableContents"/>
              <w:bidi w:val="0"/>
              <w:spacing w:before="0" w:after="0"/>
              <w:ind w:left="0" w:right="0" w:hanging="0"/>
              <w:jc w:val="center"/>
              <w:rPr/>
            </w:pPr>
            <w:hyperlink w:anchor="bal">
              <w:r>
                <w:rPr>
                  <w:rStyle w:val="InternetLink"/>
                  <w:rFonts w:ascii="Times New Roman;Times;serif" w:hAnsi="Times New Roman;Times;serif"/>
                  <w:sz w:val="20"/>
                </w:rPr>
                <w:t>5</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hyperlink w:anchor="cashflow">
              <w:r>
                <w:rPr>
                  <w:rStyle w:val="InternetLink"/>
                  <w:rFonts w:ascii="Times New Roman;Times;serif" w:hAnsi="Times New Roman;Times;serif"/>
                  <w:sz w:val="20"/>
                </w:rPr>
                <w:t>Consolidated Statement of Cash Flows (Unaudited)</w:t>
              </w:r>
            </w:hyperlink>
          </w:p>
        </w:tc>
        <w:tc>
          <w:tcPr>
            <w:tcW w:w="935" w:type="dxa"/>
            <w:tcBorders/>
            <w:vAlign w:val="center"/>
          </w:tcPr>
          <w:p>
            <w:pPr>
              <w:pStyle w:val="TableContents"/>
              <w:bidi w:val="0"/>
              <w:spacing w:before="0" w:after="0"/>
              <w:ind w:left="0" w:right="0" w:hanging="0"/>
              <w:jc w:val="center"/>
              <w:rPr/>
            </w:pPr>
            <w:hyperlink w:anchor="cashflow">
              <w:r>
                <w:rPr>
                  <w:rStyle w:val="InternetLink"/>
                  <w:rFonts w:ascii="Times New Roman;Times;serif" w:hAnsi="Times New Roman;Times;serif"/>
                  <w:sz w:val="20"/>
                </w:rPr>
                <w:t>6</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Consolidated Financial Statements (Unaudited)</w:t>
              </w:r>
            </w:hyperlink>
          </w:p>
        </w:tc>
        <w:tc>
          <w:tcPr>
            <w:tcW w:w="935"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7</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935" w:type="dxa"/>
            <w:tcBorders/>
            <w:vAlign w:val="center"/>
          </w:tcPr>
          <w:p>
            <w:pPr>
              <w:pStyle w:val="TableContents"/>
              <w:bidi w:val="0"/>
              <w:spacing w:before="0" w:after="0"/>
              <w:ind w:left="0" w:right="0" w:hanging="0"/>
              <w:jc w:val="center"/>
              <w:rPr/>
            </w:pPr>
            <w:hyperlink w:anchor="item2">
              <w:r>
                <w:rPr>
                  <w:rStyle w:val="InternetLink"/>
                  <w:rFonts w:ascii="Times New Roman;Times;serif" w:hAnsi="Times New Roman;Times;serif"/>
                  <w:sz w:val="20"/>
                </w:rPr>
                <w:t>28</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935" w:type="dxa"/>
            <w:tcBorders/>
            <w:vAlign w:val="center"/>
          </w:tcPr>
          <w:p>
            <w:pPr>
              <w:pStyle w:val="TableContents"/>
              <w:bidi w:val="0"/>
              <w:spacing w:before="0" w:after="0"/>
              <w:ind w:left="0" w:right="0" w:hanging="0"/>
              <w:jc w:val="center"/>
              <w:rPr/>
            </w:pPr>
            <w:hyperlink w:anchor="item3">
              <w:r>
                <w:rPr>
                  <w:rStyle w:val="InternetLink"/>
                  <w:rFonts w:ascii="Times New Roman;Times;serif" w:hAnsi="Times New Roman;Times;serif"/>
                  <w:sz w:val="20"/>
                </w:rPr>
                <w:t>42</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935" w:type="dxa"/>
            <w:tcBorders/>
            <w:vAlign w:val="center"/>
          </w:tcPr>
          <w:p>
            <w:pPr>
              <w:pStyle w:val="TableContents"/>
              <w:bidi w:val="0"/>
              <w:spacing w:before="0" w:after="0"/>
              <w:ind w:left="0" w:right="0" w:hanging="0"/>
              <w:jc w:val="center"/>
              <w:rPr/>
            </w:pPr>
            <w:hyperlink w:anchor="item4">
              <w:r>
                <w:rPr>
                  <w:rStyle w:val="InternetLink"/>
                  <w:rFonts w:ascii="Times New Roman;Times;serif" w:hAnsi="Times New Roman;Times;serif"/>
                  <w:sz w:val="20"/>
                </w:rPr>
                <w:t>42</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7945" w:type="dxa"/>
            <w:gridSpan w:val="2"/>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 OTHER INFORMATION</w:t>
              </w:r>
            </w:hyperlink>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left"/>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a2item1">
              <w:r>
                <w:rPr>
                  <w:rStyle w:val="InternetLink"/>
                  <w:rFonts w:ascii="Times New Roman;Times;serif" w:hAnsi="Times New Roman;Times;serif"/>
                  <w:sz w:val="20"/>
                </w:rPr>
                <w:t>Legal Proceedings</w:t>
              </w:r>
            </w:hyperlink>
          </w:p>
        </w:tc>
        <w:tc>
          <w:tcPr>
            <w:tcW w:w="935" w:type="dxa"/>
            <w:tcBorders/>
            <w:vAlign w:val="center"/>
          </w:tcPr>
          <w:p>
            <w:pPr>
              <w:pStyle w:val="TableContents"/>
              <w:bidi w:val="0"/>
              <w:spacing w:before="0" w:after="0"/>
              <w:ind w:left="0" w:right="0" w:hanging="0"/>
              <w:jc w:val="center"/>
              <w:rPr/>
            </w:pPr>
            <w:hyperlink w:anchor="a2item1">
              <w:r>
                <w:rPr>
                  <w:rStyle w:val="InternetLink"/>
                  <w:rFonts w:ascii="Times New Roman;Times;serif" w:hAnsi="Times New Roman;Times;serif"/>
                  <w:sz w:val="20"/>
                </w:rPr>
                <w:t>43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a2item1a">
              <w:r>
                <w:rPr>
                  <w:rStyle w:val="InternetLink"/>
                  <w:rFonts w:ascii="Times New Roman;Times;serif" w:hAnsi="Times New Roman;Times;serif"/>
                  <w:sz w:val="20"/>
                </w:rPr>
                <w:t>Risk Factors</w:t>
              </w:r>
            </w:hyperlink>
          </w:p>
        </w:tc>
        <w:tc>
          <w:tcPr>
            <w:tcW w:w="935" w:type="dxa"/>
            <w:tcBorders/>
            <w:vAlign w:val="center"/>
          </w:tcPr>
          <w:p>
            <w:pPr>
              <w:pStyle w:val="TableContents"/>
              <w:bidi w:val="0"/>
              <w:spacing w:before="0" w:after="0"/>
              <w:ind w:left="0" w:right="0" w:hanging="0"/>
              <w:jc w:val="center"/>
              <w:rPr/>
            </w:pPr>
            <w:hyperlink w:anchor="a2item1a">
              <w:r>
                <w:rPr>
                  <w:rStyle w:val="InternetLink"/>
                  <w:rFonts w:ascii="Times New Roman;Times;serif" w:hAnsi="Times New Roman;Times;serif"/>
                  <w:sz w:val="20"/>
                </w:rPr>
                <w:t>43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a2item2">
              <w:r>
                <w:rPr>
                  <w:rStyle w:val="InternetLink"/>
                  <w:rFonts w:ascii="Times New Roman;Times;serif" w:hAnsi="Times New Roman;Times;serif"/>
                  <w:sz w:val="20"/>
                </w:rPr>
                <w:t>Unregistered Sales of Equity Securities and Use of Proceeds</w:t>
              </w:r>
            </w:hyperlink>
          </w:p>
        </w:tc>
        <w:tc>
          <w:tcPr>
            <w:tcW w:w="935" w:type="dxa"/>
            <w:tcBorders/>
            <w:vAlign w:val="center"/>
          </w:tcPr>
          <w:p>
            <w:pPr>
              <w:pStyle w:val="TableContents"/>
              <w:bidi w:val="0"/>
              <w:spacing w:before="0" w:after="0"/>
              <w:ind w:left="0" w:right="0" w:hanging="0"/>
              <w:jc w:val="center"/>
              <w:rPr/>
            </w:pPr>
            <w:hyperlink w:anchor="a2item2">
              <w:r>
                <w:rPr>
                  <w:rStyle w:val="InternetLink"/>
                  <w:rFonts w:ascii="Times New Roman;Times;serif" w:hAnsi="Times New Roman;Times;serif"/>
                  <w:sz w:val="20"/>
                </w:rPr>
                <w:t>43</w:t>
              </w:r>
            </w:hyperlink>
          </w:p>
        </w:tc>
      </w:tr>
      <w:tr>
        <w:trPr/>
        <w:tc>
          <w:tcPr>
            <w:tcW w:w="66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Item 5</w:t>
            </w:r>
          </w:p>
        </w:tc>
        <w:tc>
          <w:tcPr>
            <w:tcW w:w="7280" w:type="dxa"/>
            <w:tcBorders/>
            <w:vAlign w:val="center"/>
          </w:tcPr>
          <w:p>
            <w:pPr>
              <w:pStyle w:val="TableContents"/>
              <w:bidi w:val="0"/>
              <w:spacing w:before="0" w:after="283"/>
              <w:jc w:val="left"/>
              <w:rPr/>
            </w:pPr>
            <w:hyperlink w:anchor="a2item5">
              <w:r>
                <w:rPr>
                  <w:rStyle w:val="InternetLink"/>
                </w:rPr>
                <w:t>Other Information</w:t>
              </w:r>
            </w:hyperlink>
          </w:p>
        </w:tc>
        <w:tc>
          <w:tcPr>
            <w:tcW w:w="935" w:type="dxa"/>
            <w:tcBorders/>
            <w:vAlign w:val="center"/>
          </w:tcPr>
          <w:p>
            <w:pPr>
              <w:pStyle w:val="TableContents"/>
              <w:bidi w:val="0"/>
              <w:spacing w:before="0" w:after="283"/>
              <w:jc w:val="center"/>
              <w:rPr/>
            </w:pPr>
            <w:hyperlink w:anchor="a2item5">
              <w:r>
                <w:rPr>
                  <w:rStyle w:val="InternetLink"/>
                </w:rPr>
                <w:t>43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a2item6">
              <w:r>
                <w:rPr>
                  <w:rStyle w:val="InternetLink"/>
                  <w:rFonts w:ascii="Times New Roman;Times;serif" w:hAnsi="Times New Roman;Times;serif"/>
                  <w:sz w:val="20"/>
                </w:rPr>
                <w:t>Exhibits</w:t>
              </w:r>
            </w:hyperlink>
          </w:p>
        </w:tc>
        <w:tc>
          <w:tcPr>
            <w:tcW w:w="935" w:type="dxa"/>
            <w:tcBorders/>
            <w:vAlign w:val="center"/>
          </w:tcPr>
          <w:p>
            <w:pPr>
              <w:pStyle w:val="TableContents"/>
              <w:bidi w:val="0"/>
              <w:spacing w:before="0" w:after="0"/>
              <w:ind w:left="0" w:right="0" w:hanging="0"/>
              <w:jc w:val="center"/>
              <w:rPr/>
            </w:pPr>
            <w:hyperlink w:anchor="a2item6">
              <w:r>
                <w:rPr>
                  <w:rStyle w:val="InternetLink"/>
                  <w:rFonts w:ascii="Times New Roman;Times;serif" w:hAnsi="Times New Roman;Times;serif"/>
                  <w:sz w:val="20"/>
                </w:rPr>
                <w:t>43</w:t>
              </w:r>
            </w:hyperlink>
          </w:p>
        </w:tc>
      </w:tr>
      <w:tr>
        <w:trPr/>
        <w:tc>
          <w:tcPr>
            <w:tcW w:w="66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center"/>
              <w:rPr/>
            </w:pPr>
            <w:r>
              <w:rPr/>
              <w:t> </w:t>
            </w:r>
          </w:p>
        </w:tc>
      </w:tr>
      <w:tr>
        <w:trPr/>
        <w:tc>
          <w:tcPr>
            <w:tcW w:w="7945"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935" w:type="dxa"/>
            <w:tcBorders/>
            <w:vAlign w:val="center"/>
          </w:tcPr>
          <w:p>
            <w:pPr>
              <w:pStyle w:val="TableContents"/>
              <w:bidi w:val="0"/>
              <w:spacing w:before="0" w:after="0"/>
              <w:ind w:left="0" w:right="0" w:hanging="0"/>
              <w:jc w:val="center"/>
              <w:rPr/>
            </w:pPr>
            <w:hyperlink w:anchor="sigs">
              <w:r>
                <w:rPr>
                  <w:rStyle w:val="InternetLink"/>
                  <w:rFonts w:ascii="Times New Roman;Times;serif" w:hAnsi="Times New Roman;Times;serif"/>
                  <w:sz w:val="20"/>
                </w:rPr>
                <w:t>44</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i"/>
      <w:bookmarkEnd w:id="3"/>
      <w:r>
        <w:rPr>
          <w:rFonts w:ascii="Times New Roman;Times;serif" w:hAnsi="Times New Roman;Times;serif"/>
          <w:b/>
          <w:sz w:val="20"/>
        </w:rPr>
        <w:t>PART I – FINANCIAL INFORMATION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per share amounts)</w:t>
      </w:r>
    </w:p>
    <w:p>
      <w:pPr>
        <w:pStyle w:val="TextBody"/>
        <w:bidi w:val="0"/>
        <w:spacing w:before="0" w:after="0"/>
        <w:ind w:left="0" w:right="0" w:hanging="0"/>
        <w:jc w:val="center"/>
        <w:rPr/>
      </w:pPr>
      <w:r>
        <w:rPr/>
        <w:t> </w:t>
      </w:r>
    </w:p>
    <w:tbl>
      <w:tblPr>
        <w:tblW w:w="9168" w:type="dxa"/>
        <w:jc w:val="left"/>
        <w:tblInd w:w="0" w:type="dxa"/>
        <w:tblLayout w:type="fixed"/>
        <w:tblCellMar>
          <w:top w:w="0" w:type="dxa"/>
          <w:left w:w="0" w:type="dxa"/>
          <w:bottom w:w="0" w:type="dxa"/>
          <w:right w:w="0" w:type="dxa"/>
        </w:tblCellMar>
      </w:tblPr>
      <w:tblGrid>
        <w:gridCol w:w="5675"/>
        <w:gridCol w:w="60"/>
        <w:gridCol w:w="157"/>
        <w:gridCol w:w="611"/>
        <w:gridCol w:w="100"/>
        <w:gridCol w:w="75"/>
        <w:gridCol w:w="157"/>
        <w:gridCol w:w="611"/>
        <w:gridCol w:w="80"/>
        <w:gridCol w:w="60"/>
        <w:gridCol w:w="138"/>
        <w:gridCol w:w="536"/>
        <w:gridCol w:w="88"/>
        <w:gridCol w:w="66"/>
        <w:gridCol w:w="138"/>
        <w:gridCol w:w="536"/>
        <w:gridCol w:w="80"/>
      </w:tblGrid>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rStyle w:val="Emphasis"/>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available to common stockholders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from discontinued operations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from discontinued operations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4" w:name="compinc"/>
      <w:bookmarkEnd w:id="4"/>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Comprehensive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861"/>
        <w:gridCol w:w="60"/>
        <w:gridCol w:w="210"/>
        <w:gridCol w:w="477"/>
        <w:gridCol w:w="131"/>
        <w:gridCol w:w="98"/>
        <w:gridCol w:w="210"/>
        <w:gridCol w:w="477"/>
        <w:gridCol w:w="80"/>
        <w:gridCol w:w="60"/>
        <w:gridCol w:w="150"/>
        <w:gridCol w:w="584"/>
        <w:gridCol w:w="96"/>
        <w:gridCol w:w="71"/>
        <w:gridCol w:w="150"/>
        <w:gridCol w:w="403"/>
        <w:gridCol w:w="87"/>
      </w:tblGrid>
      <w:tr>
        <w:trPr/>
        <w:tc>
          <w:tcPr>
            <w:tcW w:w="68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7" w:type="dxa"/>
            <w:tcBorders/>
            <w:shd w:fill="FFFFFF" w:val="clear"/>
            <w:vAlign w:val="center"/>
          </w:tcPr>
          <w:p>
            <w:pPr>
              <w:pStyle w:val="TableContents"/>
              <w:bidi w:val="0"/>
              <w:spacing w:before="0" w:after="283"/>
              <w:jc w:val="left"/>
              <w:rPr/>
            </w:pPr>
            <w:r>
              <w:rPr/>
              <w:t> </w:t>
            </w:r>
          </w:p>
        </w:tc>
      </w:tr>
      <w:tr>
        <w:trPr/>
        <w:tc>
          <w:tcPr>
            <w:tcW w:w="68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from continuing operations, net of tax:</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180" w:right="0" w:hanging="0"/>
              <w:jc w:val="left"/>
              <w:rPr/>
            </w:pPr>
            <w:r>
              <w:rPr/>
              <w:t> </w:t>
            </w:r>
          </w:p>
        </w:tc>
      </w:tr>
      <w:tr>
        <w:trPr/>
        <w:tc>
          <w:tcPr>
            <w:tcW w:w="68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7" w:type="dxa"/>
            <w:tcBorders/>
            <w:shd w:fill="CCEEFF" w:val="clear"/>
            <w:vAlign w:val="center"/>
          </w:tcPr>
          <w:p>
            <w:pPr>
              <w:pStyle w:val="TableContents"/>
              <w:bidi w:val="0"/>
              <w:spacing w:before="0" w:after="283"/>
              <w:ind w:left="180" w:right="0" w:hanging="0"/>
              <w:jc w:val="left"/>
              <w:rPr/>
            </w:pPr>
            <w:r>
              <w:rPr/>
              <w:t> </w:t>
            </w:r>
          </w:p>
        </w:tc>
      </w:tr>
      <w:tr>
        <w:trPr/>
        <w:tc>
          <w:tcPr>
            <w:tcW w:w="68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gains and losses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7" w:type="dxa"/>
            <w:tcBorders/>
            <w:shd w:fill="FFFFFF" w:val="clear"/>
            <w:vAlign w:val="center"/>
          </w:tcPr>
          <w:p>
            <w:pPr>
              <w:pStyle w:val="TableContents"/>
              <w:bidi w:val="0"/>
              <w:spacing w:before="0" w:after="283"/>
              <w:ind w:left="180" w:right="0" w:hanging="0"/>
              <w:jc w:val="left"/>
              <w:rPr/>
            </w:pPr>
            <w:r>
              <w:rPr/>
              <w:t> </w:t>
            </w:r>
          </w:p>
        </w:tc>
      </w:tr>
      <w:tr>
        <w:trPr/>
        <w:tc>
          <w:tcPr>
            <w:tcW w:w="68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benefit plans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7" w:type="dxa"/>
            <w:tcBorders>
              <w:bottom w:val="single" w:sz="2" w:space="0" w:color="000000"/>
            </w:tcBorders>
            <w:shd w:fill="CCEEFF" w:val="clear"/>
            <w:tcMar>
              <w:bottom w:w="28" w:type="dxa"/>
            </w:tcMar>
            <w:vAlign w:val="center"/>
          </w:tcPr>
          <w:p>
            <w:pPr>
              <w:pStyle w:val="TableContents"/>
              <w:bidi w:val="0"/>
              <w:spacing w:before="0" w:after="283"/>
              <w:ind w:left="360" w:right="0" w:hanging="0"/>
              <w:jc w:val="left"/>
              <w:rPr/>
            </w:pPr>
            <w:r>
              <w:rPr/>
              <w:t> </w:t>
            </w:r>
          </w:p>
        </w:tc>
      </w:tr>
      <w:tr>
        <w:trPr/>
        <w:tc>
          <w:tcPr>
            <w:tcW w:w="6861"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7" w:type="dxa"/>
            <w:tcBorders/>
            <w:shd w:fill="FFFFFF" w:val="clear"/>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180" w:right="0" w:hanging="0"/>
              <w:jc w:val="left"/>
              <w:rPr/>
            </w:pPr>
            <w:r>
              <w:rPr/>
              <w:t> </w:t>
            </w:r>
          </w:p>
        </w:tc>
      </w:tr>
      <w:tr>
        <w:trPr/>
        <w:tc>
          <w:tcPr>
            <w:tcW w:w="68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7" w:type="dxa"/>
            <w:tcBorders/>
            <w:shd w:fill="FFFFFF" w:val="clear"/>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gains and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1"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6"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bottom w:val="single" w:sz="2" w:space="0" w:color="000000"/>
            </w:tcBorders>
            <w:shd w:fill="CCEEFF" w:val="clear"/>
            <w:tcMar>
              <w:bottom w:w="28" w:type="dxa"/>
            </w:tcMar>
            <w:vAlign w:val="center"/>
          </w:tcPr>
          <w:p>
            <w:pPr>
              <w:pStyle w:val="TableContents"/>
              <w:bidi w:val="0"/>
              <w:spacing w:before="0" w:after="0"/>
              <w:ind w:left="360" w:right="0" w:hanging="0"/>
              <w:jc w:val="left"/>
              <w:rPr/>
            </w:pPr>
            <w:r>
              <w:rPr/>
              <w:t> </w:t>
            </w:r>
          </w:p>
        </w:tc>
      </w:tr>
      <w:tr>
        <w:trPr/>
        <w:tc>
          <w:tcPr>
            <w:tcW w:w="6861"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from discontinued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9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7" w:type="dxa"/>
            <w:tcBorders/>
            <w:shd w:fill="FFFFFF" w:val="clear"/>
            <w:vAlign w:val="center"/>
          </w:tcPr>
          <w:p>
            <w:pPr>
              <w:pStyle w:val="TableContents"/>
              <w:bidi w:val="0"/>
              <w:spacing w:before="0" w:after="283"/>
              <w:ind w:left="180" w:right="0" w:hanging="0"/>
              <w:jc w:val="left"/>
              <w:rPr/>
            </w:pPr>
            <w:r>
              <w:rPr/>
              <w:t> </w:t>
            </w:r>
          </w:p>
        </w:tc>
      </w:tr>
      <w:tr>
        <w:trPr/>
        <w:tc>
          <w:tcPr>
            <w:tcW w:w="686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from continuing operations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the parent company</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bal"/>
      <w:bookmarkEnd w:id="5"/>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 and per share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8143"/>
        <w:gridCol w:w="60"/>
        <w:gridCol w:w="142"/>
        <w:gridCol w:w="552"/>
        <w:gridCol w:w="80"/>
        <w:gridCol w:w="60"/>
        <w:gridCol w:w="201"/>
        <w:gridCol w:w="885"/>
        <w:gridCol w:w="82"/>
      </w:tblGrid>
      <w:tr>
        <w:trPr/>
        <w:tc>
          <w:tcPr>
            <w:tcW w:w="8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1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less allowance for doubtful accounts of $12 in 2026 and $15 in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1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affiliates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employee benefits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of disposal group held for sale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debt issuance costs of $8 in 2026 and $16 in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and postretirement obligations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 of disposal group held for sale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 company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50,000,000 shares authorized, $0.01 par value, no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1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450,000,000 shares authorized, $0.01 par value, 107,576,158 and 112,284,138 shares outstanding</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1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1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1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(2,508,917 and 1,944,700 shares)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1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43"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parent company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2" w:type="dxa"/>
            <w:tcBorders/>
            <w:shd w:fill="CCEEFF" w:val="cle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43"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43"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cashflow"/>
      <w:bookmarkEnd w:id="6"/>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0"/>
        <w:ind w:left="0" w:right="0" w:hanging="0"/>
        <w:jc w:val="center"/>
        <w:rPr/>
      </w:pPr>
      <w:r>
        <w:rPr/>
        <w:t> </w:t>
      </w:r>
    </w:p>
    <w:tbl>
      <w:tblPr>
        <w:tblW w:w="8381" w:type="dxa"/>
        <w:jc w:val="left"/>
        <w:tblInd w:w="0" w:type="dxa"/>
        <w:tblLayout w:type="fixed"/>
        <w:tblCellMar>
          <w:top w:w="0" w:type="dxa"/>
          <w:left w:w="0" w:type="dxa"/>
          <w:bottom w:w="0" w:type="dxa"/>
          <w:right w:w="0" w:type="dxa"/>
        </w:tblCellMar>
      </w:tblPr>
      <w:tblGrid>
        <w:gridCol w:w="6740"/>
        <w:gridCol w:w="60"/>
        <w:gridCol w:w="141"/>
        <w:gridCol w:w="616"/>
        <w:gridCol w:w="90"/>
        <w:gridCol w:w="67"/>
        <w:gridCol w:w="141"/>
        <w:gridCol w:w="446"/>
        <w:gridCol w:w="80"/>
      </w:tblGrid>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5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from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charges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of affiliates, net of dividends received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working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other noncurrent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divestiture of ownership interests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electric vehicle program termination charges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61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90" w:type="dxa"/>
            <w:tcBorders>
              <w:top w:val="single" w:sz="2"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44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top w:val="single" w:sz="2"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6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9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0"/>
              <w:ind w:left="0" w:right="0" w:hanging="0"/>
              <w:jc w:val="left"/>
              <w:rPr/>
            </w:pPr>
            <w:r>
              <w:rPr/>
              <w:t> </w:t>
            </w:r>
          </w:p>
        </w:tc>
        <w:tc>
          <w:tcPr>
            <w:tcW w:w="1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4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of undesignated derivatives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 from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61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446"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 from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w:t>
            </w:r>
          </w:p>
        </w:tc>
        <w:tc>
          <w:tcPr>
            <w:tcW w:w="90" w:type="dxa"/>
            <w:tcBorders/>
            <w:shd w:fill="CCEEFF" w:val="clear"/>
            <w:vAlign w:val="center"/>
          </w:tcPr>
          <w:p>
            <w:pPr>
              <w:pStyle w:val="TableContents"/>
              <w:bidi w:val="0"/>
              <w:spacing w:before="0" w:after="0"/>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1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4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short-term debt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long-term debt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(1,338</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mandatorily redeemable noncontrolling interest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Swap settlements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rStyle w:val="Emphasis"/>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1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4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4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 of period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balances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 end of period (Note 5)</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 held in 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notes"/>
      <w:bookmarkEnd w:id="7"/>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Notes to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5395" w:type="dxa"/>
        <w:jc w:val="left"/>
        <w:tblInd w:w="0" w:type="dxa"/>
        <w:tblLayout w:type="fixed"/>
        <w:tblCellMar>
          <w:top w:w="0" w:type="dxa"/>
          <w:left w:w="0" w:type="dxa"/>
          <w:bottom w:w="0" w:type="dxa"/>
          <w:right w:w="0" w:type="dxa"/>
        </w:tblCellMar>
      </w:tblPr>
      <w:tblGrid>
        <w:gridCol w:w="290"/>
        <w:gridCol w:w="510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105" w:type="dxa"/>
            <w:tcBorders/>
            <w:vAlign w:val="center"/>
          </w:tcPr>
          <w:p>
            <w:pPr>
              <w:pStyle w:val="TableContents"/>
              <w:bidi w:val="0"/>
              <w:spacing w:before="0" w:after="0"/>
              <w:ind w:left="0" w:right="0" w:hanging="0"/>
              <w:jc w:val="left"/>
              <w:rPr/>
            </w:pPr>
            <w:hyperlink w:anchor="fn1">
              <w:r>
                <w:rPr>
                  <w:rStyle w:val="InternetLink"/>
                  <w:rFonts w:ascii="Times New Roman;Times;serif" w:hAnsi="Times New Roman;Times;serif"/>
                  <w:sz w:val="20"/>
                </w:rPr>
                <w:t>Organization and Summary of Significant Accounting Policies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05" w:type="dxa"/>
            <w:tcBorders/>
            <w:vAlign w:val="center"/>
          </w:tcPr>
          <w:p>
            <w:pPr>
              <w:pStyle w:val="TableContents"/>
              <w:bidi w:val="0"/>
              <w:spacing w:before="0" w:after="283"/>
              <w:jc w:val="left"/>
              <w:rPr/>
            </w:pPr>
            <w:hyperlink w:anchor="dicops">
              <w:r>
                <w:rPr>
                  <w:rStyle w:val="InternetLink"/>
                  <w:rFonts w:ascii="Times New Roman;Times;serif" w:hAnsi="Times New Roman;Times;serif"/>
                  <w:sz w:val="20"/>
                </w:rPr>
                <w:t>Discontinued Operations</w:t>
              </w:r>
            </w:hyperlink>
          </w:p>
        </w:tc>
      </w:tr>
      <w:tr>
        <w:trPr/>
        <w:tc>
          <w:tcPr>
            <w:tcW w:w="29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105" w:type="dxa"/>
            <w:tcBorders/>
            <w:vAlign w:val="center"/>
          </w:tcPr>
          <w:p>
            <w:pPr>
              <w:pStyle w:val="TableContents"/>
              <w:bidi w:val="0"/>
              <w:spacing w:before="0" w:after="0"/>
              <w:ind w:left="0" w:right="0" w:hanging="0"/>
              <w:jc w:val="left"/>
              <w:rPr/>
            </w:pPr>
            <w:hyperlink w:anchor="fn3">
              <w:r>
                <w:rPr>
                  <w:rStyle w:val="InternetLink"/>
                  <w:rFonts w:ascii="Times New Roman;Times;serif" w:hAnsi="Times New Roman;Times;serif"/>
                  <w:sz w:val="20"/>
                </w:rPr>
                <w:t>Intangible Assets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105" w:type="dxa"/>
            <w:tcBorders/>
            <w:vAlign w:val="center"/>
          </w:tcPr>
          <w:p>
            <w:pPr>
              <w:pStyle w:val="TableContents"/>
              <w:bidi w:val="0"/>
              <w:spacing w:before="0" w:after="0"/>
              <w:ind w:left="0" w:right="0" w:hanging="0"/>
              <w:jc w:val="left"/>
              <w:rPr/>
            </w:pPr>
            <w:hyperlink w:anchor="fn4">
              <w:r>
                <w:rPr>
                  <w:rStyle w:val="InternetLink"/>
                  <w:rFonts w:ascii="Times New Roman;Times;serif" w:hAnsi="Times New Roman;Times;serif"/>
                  <w:sz w:val="20"/>
                </w:rPr>
                <w:t>Restructuring of Operations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105" w:type="dxa"/>
            <w:tcBorders/>
            <w:vAlign w:val="center"/>
          </w:tcPr>
          <w:p>
            <w:pPr>
              <w:pStyle w:val="TableContents"/>
              <w:bidi w:val="0"/>
              <w:spacing w:before="0" w:after="0"/>
              <w:ind w:left="0" w:right="0" w:hanging="0"/>
              <w:jc w:val="left"/>
              <w:rPr/>
            </w:pPr>
            <w:hyperlink w:anchor="fn5">
              <w:r>
                <w:rPr>
                  <w:rStyle w:val="InternetLink"/>
                  <w:rFonts w:ascii="Times New Roman;Times;serif" w:hAnsi="Times New Roman;Times;serif"/>
                  <w:sz w:val="20"/>
                </w:rPr>
                <w:t>Supplemental Balance Sheet and Cash Flow Information</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5105" w:type="dxa"/>
            <w:tcBorders/>
            <w:vAlign w:val="center"/>
          </w:tcPr>
          <w:p>
            <w:pPr>
              <w:pStyle w:val="TableContents"/>
              <w:bidi w:val="0"/>
              <w:spacing w:before="0" w:after="0"/>
              <w:ind w:left="0" w:right="0" w:hanging="0"/>
              <w:jc w:val="left"/>
              <w:rPr/>
            </w:pPr>
            <w:hyperlink w:anchor="fn6">
              <w:r>
                <w:rPr>
                  <w:rStyle w:val="InternetLink"/>
                  <w:rFonts w:ascii="Times New Roman;Times;serif" w:hAnsi="Times New Roman;Times;serif"/>
                  <w:sz w:val="20"/>
                </w:rPr>
                <w:t>Stockholders' Equity</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5105" w:type="dxa"/>
            <w:tcBorders/>
            <w:vAlign w:val="center"/>
          </w:tcPr>
          <w:p>
            <w:pPr>
              <w:pStyle w:val="TableContents"/>
              <w:bidi w:val="0"/>
              <w:spacing w:before="0" w:after="0"/>
              <w:ind w:left="0" w:right="0" w:hanging="0"/>
              <w:jc w:val="left"/>
              <w:rPr/>
            </w:pPr>
            <w:hyperlink w:anchor="fn8">
              <w:r>
                <w:rPr>
                  <w:rStyle w:val="InternetLink"/>
                  <w:rFonts w:ascii="Times New Roman;Times;serif" w:hAnsi="Times New Roman;Times;serif"/>
                  <w:sz w:val="20"/>
                </w:rPr>
                <w:t>Earnings per Share</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5105" w:type="dxa"/>
            <w:tcBorders/>
            <w:vAlign w:val="center"/>
          </w:tcPr>
          <w:p>
            <w:pPr>
              <w:pStyle w:val="TableContents"/>
              <w:bidi w:val="0"/>
              <w:spacing w:before="0" w:after="0"/>
              <w:ind w:left="0" w:right="0" w:hanging="0"/>
              <w:jc w:val="left"/>
              <w:rPr/>
            </w:pPr>
            <w:hyperlink w:anchor="fn9">
              <w:r>
                <w:rPr>
                  <w:rStyle w:val="InternetLink"/>
                  <w:rFonts w:ascii="Times New Roman;Times;serif" w:hAnsi="Times New Roman;Times;serif"/>
                  <w:sz w:val="20"/>
                </w:rPr>
                <w:t>Stock Compensation</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5105" w:type="dxa"/>
            <w:tcBorders/>
            <w:vAlign w:val="center"/>
          </w:tcPr>
          <w:p>
            <w:pPr>
              <w:pStyle w:val="TableContents"/>
              <w:bidi w:val="0"/>
              <w:spacing w:before="0" w:after="0"/>
              <w:ind w:left="0" w:right="0" w:hanging="0"/>
              <w:jc w:val="left"/>
              <w:rPr/>
            </w:pPr>
            <w:hyperlink w:anchor="fn10">
              <w:r>
                <w:rPr>
                  <w:rStyle w:val="InternetLink"/>
                  <w:rFonts w:ascii="Times New Roman;Times;serif" w:hAnsi="Times New Roman;Times;serif"/>
                  <w:sz w:val="20"/>
                </w:rPr>
                <w:t>Pension and Postretirement Benefit Plans</w:t>
              </w:r>
            </w:hyperlink>
          </w:p>
        </w:tc>
      </w:tr>
      <w:tr>
        <w:trPr/>
        <w:tc>
          <w:tcPr>
            <w:tcW w:w="29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5105" w:type="dxa"/>
            <w:tcBorders/>
            <w:vAlign w:val="center"/>
          </w:tcPr>
          <w:p>
            <w:pPr>
              <w:pStyle w:val="TableContents"/>
              <w:bidi w:val="0"/>
              <w:spacing w:before="0" w:after="0"/>
              <w:ind w:left="0" w:right="0" w:hanging="0"/>
              <w:jc w:val="left"/>
              <w:rPr/>
            </w:pPr>
            <w:hyperlink w:anchor="fn11">
              <w:r>
                <w:rPr>
                  <w:rStyle w:val="InternetLink"/>
                  <w:rFonts w:ascii="Times New Roman;Times;serif" w:hAnsi="Times New Roman;Times;serif"/>
                  <w:sz w:val="20"/>
                </w:rPr>
                <w:t>Financing Agreements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5105" w:type="dxa"/>
            <w:tcBorders/>
            <w:vAlign w:val="center"/>
          </w:tcPr>
          <w:p>
            <w:pPr>
              <w:pStyle w:val="TableContents"/>
              <w:bidi w:val="0"/>
              <w:spacing w:before="0" w:after="0"/>
              <w:ind w:left="0" w:right="0" w:hanging="0"/>
              <w:jc w:val="left"/>
              <w:rPr/>
            </w:pPr>
            <w:hyperlink w:anchor="fn12">
              <w:r>
                <w:rPr>
                  <w:rStyle w:val="InternetLink"/>
                  <w:rFonts w:ascii="Times New Roman;Times;serif" w:hAnsi="Times New Roman;Times;serif"/>
                  <w:sz w:val="20"/>
                </w:rPr>
                <w:t>Fair Value Measurements and Derivatives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5105" w:type="dxa"/>
            <w:tcBorders/>
            <w:vAlign w:val="center"/>
          </w:tcPr>
          <w:p>
            <w:pPr>
              <w:pStyle w:val="TableContents"/>
              <w:bidi w:val="0"/>
              <w:spacing w:before="0" w:after="0"/>
              <w:ind w:left="0" w:right="0" w:hanging="0"/>
              <w:jc w:val="left"/>
              <w:rPr/>
            </w:pPr>
            <w:hyperlink w:anchor="fn13">
              <w:r>
                <w:rPr>
                  <w:rStyle w:val="InternetLink"/>
                  <w:rFonts w:ascii="Times New Roman;Times;serif" w:hAnsi="Times New Roman;Times;serif"/>
                  <w:sz w:val="20"/>
                </w:rPr>
                <w:t>Commitments and Contingencies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5105" w:type="dxa"/>
            <w:tcBorders/>
            <w:vAlign w:val="center"/>
          </w:tcPr>
          <w:p>
            <w:pPr>
              <w:pStyle w:val="TableContents"/>
              <w:bidi w:val="0"/>
              <w:spacing w:before="0" w:after="0"/>
              <w:ind w:left="0" w:right="0" w:hanging="0"/>
              <w:jc w:val="left"/>
              <w:rPr/>
            </w:pPr>
            <w:hyperlink w:anchor="fn14">
              <w:r>
                <w:rPr>
                  <w:rStyle w:val="InternetLink"/>
                  <w:rFonts w:ascii="Times New Roman;Times;serif" w:hAnsi="Times New Roman;Times;serif"/>
                  <w:sz w:val="20"/>
                </w:rPr>
                <w:t>Warranty Obligations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5105" w:type="dxa"/>
            <w:tcBorders/>
            <w:vAlign w:val="center"/>
          </w:tcPr>
          <w:p>
            <w:pPr>
              <w:pStyle w:val="TableContents"/>
              <w:bidi w:val="0"/>
              <w:spacing w:before="0" w:after="0"/>
              <w:ind w:left="0" w:right="0" w:hanging="0"/>
              <w:jc w:val="left"/>
              <w:rPr/>
            </w:pPr>
            <w:hyperlink w:anchor="fn15">
              <w:r>
                <w:rPr>
                  <w:rStyle w:val="InternetLink"/>
                  <w:rFonts w:ascii="Times New Roman;Times;serif" w:hAnsi="Times New Roman;Times;serif"/>
                  <w:sz w:val="20"/>
                </w:rPr>
                <w:t>Income Taxes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5105" w:type="dxa"/>
            <w:tcBorders/>
            <w:vAlign w:val="center"/>
          </w:tcPr>
          <w:p>
            <w:pPr>
              <w:pStyle w:val="TableContents"/>
              <w:bidi w:val="0"/>
              <w:spacing w:before="0" w:after="0"/>
              <w:ind w:left="0" w:right="0" w:hanging="0"/>
              <w:jc w:val="left"/>
              <w:rPr/>
            </w:pPr>
            <w:hyperlink w:anchor="fn16">
              <w:r>
                <w:rPr>
                  <w:rStyle w:val="InternetLink"/>
                  <w:rFonts w:ascii="Times New Roman;Times;serif" w:hAnsi="Times New Roman;Times;serif"/>
                  <w:sz w:val="20"/>
                </w:rPr>
                <w:t>Other Income (Expense), Net</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w:t>
            </w:r>
          </w:p>
        </w:tc>
        <w:tc>
          <w:tcPr>
            <w:tcW w:w="5105" w:type="dxa"/>
            <w:tcBorders/>
            <w:vAlign w:val="center"/>
          </w:tcPr>
          <w:p>
            <w:pPr>
              <w:pStyle w:val="TableContents"/>
              <w:bidi w:val="0"/>
              <w:spacing w:before="0" w:after="0"/>
              <w:ind w:left="0" w:right="0" w:hanging="0"/>
              <w:jc w:val="left"/>
              <w:rPr/>
            </w:pPr>
            <w:hyperlink w:anchor="fn17">
              <w:r>
                <w:rPr>
                  <w:rStyle w:val="InternetLink"/>
                  <w:rFonts w:ascii="Times New Roman;Times;serif" w:hAnsi="Times New Roman;Times;serif"/>
                  <w:sz w:val="20"/>
                </w:rPr>
                <w:t>Revenue from Contracts with Customers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w:t>
            </w:r>
          </w:p>
        </w:tc>
        <w:tc>
          <w:tcPr>
            <w:tcW w:w="5105" w:type="dxa"/>
            <w:tcBorders/>
            <w:vAlign w:val="center"/>
          </w:tcPr>
          <w:p>
            <w:pPr>
              <w:pStyle w:val="TableContents"/>
              <w:bidi w:val="0"/>
              <w:spacing w:before="0" w:after="0"/>
              <w:ind w:left="0" w:right="0" w:hanging="0"/>
              <w:jc w:val="left"/>
              <w:rPr/>
            </w:pPr>
            <w:hyperlink w:anchor="fn18">
              <w:r>
                <w:rPr>
                  <w:rStyle w:val="InternetLink"/>
                  <w:rFonts w:ascii="Times New Roman;Times;serif" w:hAnsi="Times New Roman;Times;serif"/>
                  <w:sz w:val="20"/>
                </w:rPr>
                <w:t>Segments</w:t>
              </w:r>
            </w:hyperlink>
          </w:p>
        </w:tc>
      </w:tr>
      <w:tr>
        <w:trPr/>
        <w:tc>
          <w:tcPr>
            <w:tcW w:w="290" w:type="dxa"/>
            <w:tcBorders/>
            <w:vAlign w:val="center"/>
          </w:tcPr>
          <w:p>
            <w:pPr>
              <w:pStyle w:val="TableContents"/>
              <w:bidi w:val="0"/>
              <w:spacing w:before="0" w:after="0"/>
              <w:ind w:left="0" w:right="0" w:hanging="0"/>
              <w:jc w:val="left"/>
              <w:rPr/>
            </w:pPr>
            <w:r>
              <w:rPr/>
              <w:t> </w:t>
            </w:r>
          </w:p>
        </w:tc>
        <w:tc>
          <w:tcPr>
            <w:tcW w:w="5105" w:type="dxa"/>
            <w:tcBorders/>
            <w:vAlign w:val="center"/>
          </w:tcPr>
          <w:p>
            <w:pPr>
              <w:pStyle w:val="TableContents"/>
              <w:bidi w:val="0"/>
              <w:spacing w:before="0" w:after="0"/>
              <w:ind w:left="0" w:right="0" w:hanging="0"/>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5105" w:type="dxa"/>
            <w:tcBorders/>
            <w:vAlign w:val="center"/>
          </w:tcPr>
          <w:p>
            <w:pPr>
              <w:pStyle w:val="TableContents"/>
              <w:bidi w:val="0"/>
              <w:spacing w:before="0" w:after="0"/>
              <w:ind w:left="0" w:right="0" w:hanging="0"/>
              <w:jc w:val="left"/>
              <w:rPr/>
            </w:pPr>
            <w:hyperlink w:anchor="fn19">
              <w:r>
                <w:rPr>
                  <w:rStyle w:val="InternetLink"/>
                  <w:rFonts w:ascii="Times New Roman;Times;serif" w:hAnsi="Times New Roman;Times;serif"/>
                  <w:sz w:val="20"/>
                </w:rPr>
                <w:t>Equity Affiliates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 and per share amounts)</w:t>
      </w:r>
    </w:p>
    <w:p>
      <w:pPr>
        <w:pStyle w:val="TextBody"/>
        <w:bidi w:val="0"/>
        <w:spacing w:before="0" w:after="283"/>
        <w:jc w:val="left"/>
        <w:rPr/>
      </w:pPr>
      <w:r>
        <w:rPr/>
        <w:t xml:space="preserve">  </w:t>
      </w:r>
    </w:p>
    <w:p>
      <w:pPr>
        <w:pStyle w:val="TextBody"/>
        <w:bidi w:val="0"/>
        <w:spacing w:before="0" w:after="0"/>
        <w:ind w:left="0" w:right="0" w:hanging="0"/>
        <w:jc w:val="left"/>
        <w:rPr/>
      </w:pPr>
      <w:bookmarkStart w:id="8" w:name="fn1"/>
      <w:bookmarkEnd w:id="8"/>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Organization and Summary of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Dana Incorporated (Dana) is headquartered in Maumee, Ohio and was incorporated in Delaware in </w:t>
      </w:r>
      <w:r>
        <w:rPr>
          <w:rStyle w:val="Emphasis"/>
          <w:rFonts w:ascii="Times New Roman;Times;serif" w:hAnsi="Times New Roman;Times;serif"/>
          <w:sz w:val="20"/>
        </w:rPr>
        <w:t>2007.</w:t>
      </w:r>
      <w:r>
        <w:rPr>
          <w:rFonts w:ascii="Times New Roman;Times;serif" w:hAnsi="Times New Roman;Times;serif"/>
          <w:sz w:val="20"/>
        </w:rPr>
        <w:t xml:space="preserve"> Dana is a global provider of high technology driveline (axles, driveshafts and transmissions); sealing and thermal-management products; and motors, power inverters, and control systems for electric vehicles with a customer base that includes virtually every major on-highway vehicle manufacturer in the world.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terms "Dana," "we," "our" and "us," when used in this report, are references to Dana. These references include the subsidiaries of Dana unless otherwise indicated or the context requires otherwise.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Summary of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Basis of presentation</w:t>
      </w:r>
      <w:r>
        <w:rPr>
          <w:rFonts w:ascii="Times New Roman;Times;serif" w:hAnsi="Times New Roman;Times;serif"/>
          <w:sz w:val="20"/>
        </w:rPr>
        <w:t xml:space="preserve"> — Our consolidated financial statements are prepared in accordance with accounting principles generally accepted in the United States (GAAP) for interim financial information. These statements are unaudited, but in the opinion of management include all adjustments (consisting only of normal recurring adjustments) necessary for a fair statement of the results for the interim periods. The results reported in these consolidated financial statements should </w:t>
      </w:r>
      <w:r>
        <w:rPr>
          <w:rStyle w:val="Emphasis"/>
          <w:rFonts w:ascii="Times New Roman;Times;serif" w:hAnsi="Times New Roman;Times;serif"/>
          <w:sz w:val="20"/>
        </w:rPr>
        <w:t>not</w:t>
      </w:r>
      <w:r>
        <w:rPr>
          <w:rFonts w:ascii="Times New Roman;Times;serif" w:hAnsi="Times New Roman;Times;serif"/>
          <w:sz w:val="20"/>
        </w:rPr>
        <w:t xml:space="preserve"> necessarily be taken as indicative of results that </w:t>
      </w:r>
      <w:r>
        <w:rPr>
          <w:rStyle w:val="Emphasis"/>
          <w:rFonts w:ascii="Times New Roman;Times;serif" w:hAnsi="Times New Roman;Times;serif"/>
          <w:sz w:val="20"/>
        </w:rPr>
        <w:t xml:space="preserve">may </w:t>
      </w:r>
      <w:r>
        <w:rPr>
          <w:rFonts w:ascii="Times New Roman;Times;serif" w:hAnsi="Times New Roman;Times;serif"/>
          <w:sz w:val="20"/>
        </w:rPr>
        <w:t xml:space="preserve">be expected for the entire year. The financial information included herein should be read in conjunction with the consolidated financial statements in Item </w:t>
      </w:r>
      <w:r>
        <w:rPr>
          <w:rStyle w:val="Emphasis"/>
          <w:rFonts w:ascii="Times New Roman;Times;serif" w:hAnsi="Times New Roman;Times;serif"/>
          <w:sz w:val="20"/>
        </w:rPr>
        <w:t>8</w:t>
      </w:r>
      <w:r>
        <w:rPr>
          <w:rFonts w:ascii="Times New Roman;Times;serif" w:hAnsi="Times New Roman;Times;serif"/>
          <w:sz w:val="20"/>
        </w:rPr>
        <w:t xml:space="preserve"> of our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(the </w:t>
      </w:r>
      <w:r>
        <w:rPr>
          <w:rStyle w:val="Emphasis"/>
          <w:rFonts w:ascii="Times New Roman;Times;serif" w:hAnsi="Times New Roman;Times;serif"/>
          <w:sz w:val="20"/>
        </w:rPr>
        <w:t>2025</w:t>
      </w:r>
      <w:r>
        <w:rPr>
          <w:rFonts w:ascii="Times New Roman;Times;serif" w:hAnsi="Times New Roman;Times;serif"/>
          <w:sz w:val="20"/>
        </w:rPr>
        <w:t xml:space="preserve"> Form </w:t>
      </w:r>
      <w:r>
        <w:rPr>
          <w:rStyle w:val="Emphasis"/>
          <w:rFonts w:ascii="Times New Roman;Times;serif" w:hAnsi="Times New Roman;Times;serif"/>
          <w:sz w:val="20"/>
        </w:rPr>
        <w:t>10</w:t>
      </w:r>
      <w:r>
        <w:rPr>
          <w:rFonts w:ascii="Times New Roman;Times;serif" w:hAnsi="Times New Roman;Times;serif"/>
          <w:sz w:val="20"/>
        </w:rPr>
        <w:t>-K). Certain prior year amounts have been reclassified to conform to the current presentation.</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we completed the previously announced sale of our Off-Highway business to Allison Transmission Holdings, Inc. The sale was consummated pursuant to the terms and conditions of the definitive agreement to sell that we entered in </w:t>
      </w:r>
      <w:r>
        <w:rPr>
          <w:rStyle w:val="Emphasis"/>
          <w:rFonts w:ascii="Times New Roman;Times;serif" w:hAnsi="Times New Roman;Times;serif"/>
          <w:sz w:val="20"/>
        </w:rPr>
        <w:t xml:space="preserve">June 2025. </w:t>
      </w:r>
      <w:r>
        <w:rPr>
          <w:rFonts w:ascii="Times New Roman;Times;serif" w:hAnsi="Times New Roman;Times;serif"/>
          <w:sz w:val="20"/>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Off-Highway business and determined that the conditions for discontinued operations presentation have been met. As such, the financial position, results of operations and cash flows of that business are reported as discontinued operations in the accompanying consolidated financial statements. Prior period amounts have been recast to reflect discontinued operations presentation.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0" w:after="0"/>
        <w:ind w:left="0" w:right="0" w:firstLine="180"/>
        <w:jc w:val="left"/>
        <w:rPr/>
      </w:pPr>
      <w:r>
        <w:rPr/>
        <w:t> </w:t>
      </w:r>
    </w:p>
    <w:p>
      <w:pPr>
        <w:pStyle w:val="TextBody"/>
        <w:bidi w:val="0"/>
        <w:spacing w:before="0" w:after="0"/>
        <w:ind w:left="0" w:right="0" w:firstLine="360"/>
        <w:jc w:val="left"/>
        <w:rPr/>
      </w:pPr>
      <w:r>
        <w:rPr>
          <w:rFonts w:ascii="Times New Roman;Times;serif" w:hAnsi="Times New Roman;Times;serif"/>
          <w:sz w:val="20"/>
        </w:rPr>
        <w:t>In </w:t>
      </w:r>
      <w:r>
        <w:rPr>
          <w:rStyle w:val="Emphasis"/>
          <w:rFonts w:ascii="Times New Roman;Times;serif" w:hAnsi="Times New Roman;Times;serif"/>
          <w:sz w:val="20"/>
        </w:rPr>
        <w:t xml:space="preserve"> July 2025, </w:t>
      </w:r>
      <w:r>
        <w:rPr>
          <w:rFonts w:ascii="Times New Roman;Times;serif" w:hAnsi="Times New Roman;Times;serif"/>
          <w:sz w:val="20"/>
        </w:rPr>
        <w:t xml:space="preserve">the FASB issued ASU </w:t>
      </w:r>
      <w:r>
        <w:rPr>
          <w:rStyle w:val="Emphasis"/>
          <w:rFonts w:ascii="Times New Roman;Times;serif" w:hAnsi="Times New Roman;Times;serif"/>
          <w:sz w:val="20"/>
        </w:rPr>
        <w:t>2025</w:t>
      </w:r>
      <w:r>
        <w:rPr>
          <w:rFonts w:ascii="Times New Roman;Times;serif" w:hAnsi="Times New Roman;Times;serif"/>
          <w:sz w:val="20"/>
        </w:rPr>
        <w:t>-</w:t>
      </w:r>
      <w:r>
        <w:rPr>
          <w:rStyle w:val="Emphasis"/>
          <w:rFonts w:ascii="Times New Roman;Times;serif" w:hAnsi="Times New Roman;Times;serif"/>
          <w:sz w:val="20"/>
        </w:rPr>
        <w:t>05,</w:t>
      </w:r>
      <w:r>
        <w:rPr>
          <w:rFonts w:ascii="Times New Roman;Times;serif" w:hAnsi="Times New Roman;Times;serif"/>
          <w:sz w:val="20"/>
        </w:rPr>
        <w:t xml:space="preserve"> Financial Instruments-Credit Losses (Topic </w:t>
      </w:r>
      <w:r>
        <w:rPr>
          <w:rStyle w:val="Emphasis"/>
          <w:rFonts w:ascii="Times New Roman;Times;serif" w:hAnsi="Times New Roman;Times;serif"/>
          <w:sz w:val="20"/>
        </w:rPr>
        <w:t>326</w:t>
      </w:r>
      <w:r>
        <w:rPr>
          <w:rFonts w:ascii="Times New Roman;Times;serif" w:hAnsi="Times New Roman;Times;serif"/>
          <w:sz w:val="20"/>
        </w:rPr>
        <w:t>): Measurement of Credit Losses for Accounts Receivable and Contract Assets, which introduces a practical expedient that allows entities to assume conditions existing at the balance-sheet date will remain constant over the remaining life of current accounts receivable and contract assets arising from revenue transactions. We adopted this ASU effective </w:t>
      </w:r>
      <w:r>
        <w:rPr>
          <w:rStyle w:val="Emphasis"/>
          <w:rFonts w:ascii="Times New Roman;Times;serif" w:hAnsi="Times New Roman;Times;serif"/>
          <w:sz w:val="20"/>
        </w:rPr>
        <w:t xml:space="preserve"> January 1, 2026 </w:t>
      </w:r>
      <w:r>
        <w:rPr>
          <w:rFonts w:ascii="Times New Roman;Times;serif" w:hAnsi="Times New Roman;Times;serif"/>
          <w:sz w:val="20"/>
        </w:rPr>
        <w:t xml:space="preserve">and elected to utilize the practical expedient. The adoption of this amendment did </w:t>
      </w:r>
      <w:r>
        <w:rPr>
          <w:rStyle w:val="Emphasis"/>
          <w:rFonts w:ascii="Times New Roman;Times;serif" w:hAnsi="Times New Roman;Times;serif"/>
          <w:sz w:val="20"/>
        </w:rPr>
        <w:t>not</w:t>
      </w:r>
      <w:r>
        <w:rPr>
          <w:rFonts w:ascii="Times New Roman;Times;serif" w:hAnsi="Times New Roman;Times;serif"/>
          <w:sz w:val="20"/>
        </w:rPr>
        <w:t xml:space="preserve"> have a material impact on our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December 2025, </w:t>
      </w:r>
      <w:r>
        <w:rPr>
          <w:rFonts w:ascii="Times New Roman;Times;serif" w:hAnsi="Times New Roman;Times;serif"/>
          <w:caps w:val="false"/>
          <w:smallCaps w:val="false"/>
          <w:sz w:val="20"/>
        </w:rPr>
        <w:t xml:space="preserve">the Financial Accounting Standards Board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Government Grants (Topic </w:t>
      </w:r>
      <w:r>
        <w:rPr>
          <w:rStyle w:val="Emphasis"/>
          <w:rFonts w:ascii="Times New Roman;Times;serif" w:hAnsi="Times New Roman;Times;serif"/>
          <w:caps w:val="false"/>
          <w:smallCaps w:val="false"/>
          <w:sz w:val="20"/>
        </w:rPr>
        <w:t>832</w:t>
      </w:r>
      <w:r>
        <w:rPr>
          <w:rFonts w:ascii="Times New Roman;Times;serif" w:hAnsi="Times New Roman;Times;serif"/>
          <w:caps w:val="false"/>
          <w:smallCaps w:val="false"/>
          <w:sz w:val="20"/>
        </w:rPr>
        <w:t xml:space="preserve">), which addresses the recognition, measurement, presentation and disclosure of government grants, including grants related to income and grants related to assets. The new guidance leverages the principles in the accounting framework for government assistance in IFRS, specifically IAS </w:t>
      </w:r>
      <w:r>
        <w:rPr>
          <w:rStyle w:val="Emphasis"/>
          <w:rFonts w:ascii="Times New Roman;Times;serif" w:hAnsi="Times New Roman;Times;serif"/>
          <w:caps w:val="false"/>
          <w:smallCaps w:val="false"/>
          <w:sz w:val="20"/>
        </w:rPr>
        <w:t>20,</w:t>
      </w:r>
      <w:r>
        <w:rPr>
          <w:rFonts w:ascii="Times New Roman;Times;serif" w:hAnsi="Times New Roman;Times;serif"/>
          <w:caps w:val="false"/>
          <w:smallCaps w:val="false"/>
          <w:sz w:val="20"/>
        </w:rPr>
        <w:t xml:space="preserve"> with certain targeted improvements. This ASU requires entities to recognize government grants only when it is probable that the entity will meet the stipulated grant conditions and ultimately receive the grant funds. This ASU provides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acceptable methods for accounting for grants related to assets: the grant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initially recognized as deferred income, or it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recorded as an adjustment to reduce the cost basis of the related asset. For grants related to income, the standard mandates that these shall be consistently recognized as deferred income. Deferred grants should be recognized in earnings on a systematic and rational basis either under a general heading such as other income or deducted from the related expense. The guidance is effective for annual reporting periods beginning after </w:t>
      </w:r>
      <w:r>
        <w:rPr>
          <w:rStyle w:val="Emphasis"/>
          <w:rFonts w:ascii="Times New Roman;Times;serif" w:hAnsi="Times New Roman;Times;serif"/>
          <w:caps w:val="false"/>
          <w:smallCaps w:val="false"/>
          <w:sz w:val="20"/>
        </w:rPr>
        <w:t xml:space="preserve">December 15, 2028, </w:t>
      </w:r>
      <w:r>
        <w:rPr>
          <w:rFonts w:ascii="Times New Roman;Times;serif" w:hAnsi="Times New Roman;Times;serif"/>
          <w:caps w:val="false"/>
          <w:smallCaps w:val="false"/>
          <w:sz w:val="20"/>
        </w:rPr>
        <w:t xml:space="preserve">and interim reporting periods within those annual reporting periods; early adoption is permitted. We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expect this guidance to have a material impact on our consolidated financial statements and related disclosures.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2025,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Derivatives and Hedging (Topic </w:t>
      </w:r>
      <w:r>
        <w:rPr>
          <w:rStyle w:val="Emphasis"/>
          <w:rFonts w:ascii="Times New Roman;Times;serif" w:hAnsi="Times New Roman;Times;serif"/>
          <w:caps w:val="false"/>
          <w:smallCaps w:val="false"/>
          <w:sz w:val="20"/>
        </w:rPr>
        <w:t>815</w:t>
      </w:r>
      <w:r>
        <w:rPr>
          <w:rFonts w:ascii="Times New Roman;Times;serif" w:hAnsi="Times New Roman;Times;serif"/>
          <w:caps w:val="false"/>
          <w:smallCaps w:val="false"/>
          <w:sz w:val="20"/>
        </w:rPr>
        <w:t xml:space="preserve">), which provides targeted amendments to better align U.S. GAAP with common risk management practices. The guidance simplifies cash flow hedge accounting for forecasted transactions primarily by allowing entities to hedge a broader group of risks using a single derivative. Additionally, the ASU expands the scope of qualifying hedged items to include certain nonfinancial components, creates an optional accounting model for "choose-your-rate" debt instruments, and eliminates the recognition mismatch for dual hedge strategies. The guidance is effective for annual reporting periods beginning after </w:t>
      </w:r>
      <w:r>
        <w:rPr>
          <w:rStyle w:val="Emphasis"/>
          <w:rFonts w:ascii="Times New Roman;Times;serif" w:hAnsi="Times New Roman;Times;serif"/>
          <w:caps w:val="false"/>
          <w:smallCaps w:val="false"/>
          <w:sz w:val="20"/>
        </w:rPr>
        <w:t xml:space="preserve">December 15, 2026; </w:t>
      </w:r>
      <w:r>
        <w:rPr>
          <w:rFonts w:ascii="Times New Roman;Times;serif" w:hAnsi="Times New Roman;Times;serif"/>
          <w:caps w:val="false"/>
          <w:smallCaps w:val="false"/>
          <w:sz w:val="20"/>
        </w:rPr>
        <w:t xml:space="preserve">early adoption is permitted. We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expect this guidance to have a material impact on our consolidated financial statements and related disclosures.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September 2025,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Intangibles-Goodwill and Other-Internal-Use Software (Subtopic </w:t>
      </w:r>
      <w:r>
        <w:rPr>
          <w:rStyle w:val="Emphasis"/>
          <w:rFonts w:ascii="Times New Roman;Times;serif" w:hAnsi="Times New Roman;Times;serif"/>
          <w:caps w:val="false"/>
          <w:smallCaps w:val="false"/>
          <w:sz w:val="20"/>
        </w:rPr>
        <w:t>350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Targeted Improvements to the Accounting for Internal-Use Software, which eliminates the sequential software development-stage model and requires capitalization when management authorizes and commits to funding a software project and determines it is probable of completion. In evaluating whether it is probable the project will be completed, management is required to consider whether there is significant uncertainty associated with the development activities of the software. The guidance is effective for annual reporting periods beginning after </w:t>
      </w:r>
      <w:r>
        <w:rPr>
          <w:rStyle w:val="Emphasis"/>
          <w:rFonts w:ascii="Times New Roman;Times;serif" w:hAnsi="Times New Roman;Times;serif"/>
          <w:caps w:val="false"/>
          <w:smallCaps w:val="false"/>
          <w:sz w:val="20"/>
        </w:rPr>
        <w:t xml:space="preserve">December 15, 2027, </w:t>
      </w:r>
      <w:r>
        <w:rPr>
          <w:rFonts w:ascii="Times New Roman;Times;serif" w:hAnsi="Times New Roman;Times;serif"/>
          <w:caps w:val="false"/>
          <w:smallCaps w:val="false"/>
          <w:sz w:val="20"/>
        </w:rPr>
        <w:t>and interim periods within those annual reporting periods, with early adoption permitted. We are currently evaluating the impact of the guidance on the consolidated financial statements and related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2024,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03,</w:t>
      </w:r>
      <w:r>
        <w:rPr>
          <w:rFonts w:ascii="Times New Roman;Times;serif" w:hAnsi="Times New Roman;Times;serif"/>
          <w:caps w:val="false"/>
          <w:smallCaps w:val="false"/>
          <w:sz w:val="20"/>
        </w:rPr>
        <w:t xml:space="preserve"> Disaggregation of Income Statement Expenses (Subtopic </w:t>
      </w:r>
      <w:r>
        <w:rPr>
          <w:rStyle w:val="Emphasis"/>
          <w:rFonts w:ascii="Times New Roman;Times;serif" w:hAnsi="Times New Roman;Times;serif"/>
          <w:caps w:val="false"/>
          <w:smallCaps w:val="false"/>
          <w:sz w:val="20"/>
        </w:rPr>
        <w:t>220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which requires public entities to disclose detailed components of income statement expenses, such as inventory purchases, employee compensation, depreciation and amortization within relevant expense captions. Companies are also required to explain amounts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disaggregated and define and disclose total selling expenses. The guidance is effective for fiscal years beginning after </w:t>
      </w:r>
      <w:r>
        <w:rPr>
          <w:rStyle w:val="Emphasis"/>
          <w:rFonts w:ascii="Times New Roman;Times;serif" w:hAnsi="Times New Roman;Times;serif"/>
          <w:caps w:val="false"/>
          <w:smallCaps w:val="false"/>
          <w:sz w:val="20"/>
        </w:rPr>
        <w:t xml:space="preserve">December 15, 2026, </w:t>
      </w:r>
      <w:r>
        <w:rPr>
          <w:rFonts w:ascii="Times New Roman;Times;serif" w:hAnsi="Times New Roman;Times;serif"/>
          <w:caps w:val="false"/>
          <w:smallCaps w:val="false"/>
          <w:sz w:val="20"/>
        </w:rPr>
        <w:t xml:space="preserve">and interim periods beginning after </w:t>
      </w:r>
      <w:r>
        <w:rPr>
          <w:rStyle w:val="Emphasis"/>
          <w:rFonts w:ascii="Times New Roman;Times;serif" w:hAnsi="Times New Roman;Times;serif"/>
          <w:caps w:val="false"/>
          <w:smallCaps w:val="false"/>
          <w:sz w:val="20"/>
        </w:rPr>
        <w:t xml:space="preserve">December 15, 2027. </w:t>
      </w:r>
      <w:r>
        <w:rPr>
          <w:rFonts w:ascii="Times New Roman;Times;serif" w:hAnsi="Times New Roman;Times;serif"/>
          <w:caps w:val="false"/>
          <w:smallCaps w:val="false"/>
          <w:sz w:val="20"/>
        </w:rPr>
        <w:t>We are currently evaluating the impact of the guidance on our financial statement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Eaton Mobility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June 10, 2026, </w:t>
      </w:r>
      <w:r>
        <w:rPr>
          <w:rFonts w:ascii="Times New Roman;Times;serif" w:hAnsi="Times New Roman;Times;serif"/>
          <w:caps w:val="false"/>
          <w:smallCaps w:val="false"/>
          <w:sz w:val="20"/>
        </w:rPr>
        <w:t xml:space="preserve">Dana entered into definitive agreements with Eaton Corporation plc (Eaton) and certain wholly owned subsidiaries of Eaton, including Mobility (USA) Corporation (the SpinCo), to acquire Eaton’s Vehicle and eMobility business segments (Mobility business). The structure of the transaction is a Reverse Morris Trust. Following the separation of the Mobility business from Eaton, a subsidiary of SpinCo will merge with and into Dana, and Dana will survive the merger as a wholly owned subsidiary of SpinCo. Following the merger, each outstanding share of Dana will be converted into the right to receive one SpinCo share. Prior to or at the closing, a subsidiary of Eaton will sell to Dana 100% of the stock in Royal Precision Holdings Corp. in exchange for cash consideration (the Royal Precision Purchase Price). In the event of an election by Dana, certain specified assets (as defined in the separation agreement) will be purchased by Dana from Eaton and certain of its subsidiaries. When the transaction is completed, former Eaton shareholders will own at least 50.1% and former Dana shareholders will own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more than 49.9% of the outstanding shares of SpinCo common stock on a fully diluted basis. Under the terms of the agreement, Eaton will receive a cash distribution of approximately $1,100, subject to adjustment for cash and indebtedness and reduced by the Royal Precision and other specified assets Purchase Price. The transaction has been unanimously approved by the Boards of Directors of both Dana and Eaton.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vote by Eaton shareholders is required. The transaction is intended to be tax-free to Dana and Eaton shareholders for U.S. federal income tax purposes. The transaction is anticipated to close in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2027,</w:t>
      </w:r>
      <w:r>
        <w:rPr>
          <w:rFonts w:ascii="Times New Roman;Times;serif" w:hAnsi="Times New Roman;Times;serif"/>
          <w:caps w:val="false"/>
          <w:smallCaps w:val="false"/>
          <w:sz w:val="20"/>
        </w:rPr>
        <w:t xml:space="preserve"> subject to approval by Dana's shareholders and customary closing conditions, including receipt of regulatory approvals. The agreements contain certain customary termination rights for Dana and Eaton, including, without limitation, a right for either party to terminate if the transaction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completed on or before </w:t>
      </w:r>
      <w:r>
        <w:rPr>
          <w:rStyle w:val="Emphasis"/>
          <w:rFonts w:ascii="Times New Roman;Times;serif" w:hAnsi="Times New Roman;Times;serif"/>
          <w:caps w:val="false"/>
          <w:smallCaps w:val="false"/>
          <w:sz w:val="20"/>
        </w:rPr>
        <w:t xml:space="preserve">June 10, 2027. </w:t>
      </w:r>
      <w:r>
        <w:rPr>
          <w:rFonts w:ascii="Times New Roman;Times;serif" w:hAnsi="Times New Roman;Times;serif"/>
          <w:caps w:val="false"/>
          <w:smallCaps w:val="false"/>
          <w:sz w:val="20"/>
        </w:rPr>
        <w:t xml:space="preserve">Termination resulting from Dana shareholders voting against the transaction would result in Dana having to reimburse Eaton for certain expenses in an amount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to exceed $20. Termination under specified circumstances would require Dana to pay Eaton a termination fee of $159. In anticipation of the transaction, Mobility (USA) Corporation and Dana became parties to a $2,600 bridge facility, a $350 secured term loan A commitment and a $1,200 secured revolving credit facility commitment. See Note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for additional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9" w:name="dicops"/>
      <w:bookmarkEnd w:id="9"/>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xml:space="preserve"> Discontinued Operations</w:t>
      </w:r>
    </w:p>
    <w:p>
      <w:pPr>
        <w:pStyle w:val="TextBody"/>
        <w:bidi w:val="0"/>
        <w:spacing w:before="0" w:after="0"/>
        <w:ind w:left="0" w:right="0" w:hanging="0"/>
        <w:jc w:val="both"/>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June 2025, </w:t>
      </w:r>
      <w:r>
        <w:rPr>
          <w:rFonts w:ascii="Times New Roman;Times;serif" w:hAnsi="Times New Roman;Times;serif"/>
          <w:caps w:val="false"/>
          <w:smallCaps w:val="false"/>
          <w:sz w:val="20"/>
        </w:rPr>
        <w:t xml:space="preserve">we entered into a definitive agreement to sell our Off-Highway business to Allison Transmission Holdings, Inc. (Allison). The transaction closed on </w:t>
      </w:r>
      <w:r>
        <w:rPr>
          <w:rStyle w:val="Emphasis"/>
          <w:rFonts w:ascii="Times New Roman;Times;serif" w:hAnsi="Times New Roman;Times;serif"/>
          <w:caps w:val="false"/>
          <w:smallCaps w:val="false"/>
          <w:sz w:val="20"/>
        </w:rPr>
        <w:t xml:space="preserve">January 1, 2026, </w:t>
      </w:r>
      <w:r>
        <w:rPr>
          <w:rFonts w:ascii="Times New Roman;Times;serif" w:hAnsi="Times New Roman;Times;serif"/>
          <w:caps w:val="false"/>
          <w:smallCaps w:val="false"/>
          <w:sz w:val="20"/>
        </w:rPr>
        <w:t xml:space="preserve">with Dana receiving gross cash proceeds of $2,664. Pursuant to the terms of the agreement, the purchase price was subject to post-closing adjustments based on net working capital and net indebtedness balances as of the closing date. Based on the final closing date net working capital and net indebtedness balances, we paid $34 to Allison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Included in the gross cash proceeds received was $82 related to the Off-Highway business's Mexican operations which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legally transferred to Allison. As a result, the $82 of proceeds has been deferred and included in other accrued liabilities on our consolidated balance sheet. The assets and liabilities of the Mexican operations will continue to be reported as held for sale on our consolidated balance sheet. The Mexican operations results of operations and cash flows will continue to be reported as discontinued operations on our consolidated statements of operations, comprehensive income and cash flows. We expect to complete the transfer of the Mexican operations to Allison by the end of </w:t>
      </w:r>
      <w:r>
        <w:rPr>
          <w:rStyle w:val="Emphasis"/>
          <w:rFonts w:ascii="Times New Roman;Times;serif" w:hAnsi="Times New Roman;Times;serif"/>
          <w:caps w:val="false"/>
          <w:smallCaps w:val="false"/>
          <w:sz w:val="20"/>
        </w:rPr>
        <w:t>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closing of the transaction, we entered into a transition services agreement, engineering services agreement, intellectual property and trademark license agreements, and certain supply agreements with Allison. Services to be provided by Dana under the transition services agreement include finance, information technology, human resources and certain other administrative services for periods up to 24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major classes of line items included in net income from discontinued operations are as follows:</w:t>
      </w:r>
    </w:p>
    <w:p>
      <w:pPr>
        <w:pStyle w:val="TextBody"/>
        <w:bidi w:val="0"/>
        <w:spacing w:before="0" w:after="0"/>
        <w:ind w:left="0" w:right="0" w:hanging="0"/>
        <w:jc w:val="both"/>
        <w:rPr/>
      </w:pPr>
      <w:r>
        <w:rPr/>
        <w:t> </w:t>
      </w:r>
    </w:p>
    <w:tbl>
      <w:tblPr>
        <w:tblW w:w="9801" w:type="dxa"/>
        <w:jc w:val="left"/>
        <w:tblInd w:w="0" w:type="dxa"/>
        <w:tblLayout w:type="fixed"/>
        <w:tblCellMar>
          <w:top w:w="0" w:type="dxa"/>
          <w:left w:w="0" w:type="dxa"/>
          <w:bottom w:w="0" w:type="dxa"/>
          <w:right w:w="0" w:type="dxa"/>
        </w:tblCellMar>
      </w:tblPr>
      <w:tblGrid>
        <w:gridCol w:w="6305"/>
        <w:gridCol w:w="60"/>
        <w:gridCol w:w="211"/>
        <w:gridCol w:w="490"/>
        <w:gridCol w:w="135"/>
        <w:gridCol w:w="101"/>
        <w:gridCol w:w="211"/>
        <w:gridCol w:w="566"/>
        <w:gridCol w:w="80"/>
        <w:gridCol w:w="60"/>
        <w:gridCol w:w="138"/>
        <w:gridCol w:w="536"/>
        <w:gridCol w:w="88"/>
        <w:gridCol w:w="66"/>
        <w:gridCol w:w="138"/>
        <w:gridCol w:w="536"/>
        <w:gridCol w:w="80"/>
      </w:tblGrid>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Off-Highway business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discontinued operations before interest and income taxes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discontinued operations before income taxes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xml:space="preserve"> we incurred $6 and $55 of Off-Highway business divestiture transaction related costs, compared with $14 and $34, respectively, during the corresponding periods in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These costs were attributed to discontinued operations and included in other income (expense), net in the table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carrying amounts of the major classes of assets and liabilities of disposal group held for sale are as follows:</w:t>
      </w:r>
    </w:p>
    <w:p>
      <w:pPr>
        <w:pStyle w:val="TextBody"/>
        <w:bidi w:val="0"/>
        <w:spacing w:before="0" w:after="0"/>
        <w:ind w:left="0" w:right="0" w:hanging="0"/>
        <w:jc w:val="both"/>
        <w:rPr/>
      </w:pPr>
      <w:r>
        <w:rPr/>
        <w:t> </w:t>
      </w:r>
    </w:p>
    <w:tbl>
      <w:tblPr>
        <w:tblW w:w="6328" w:type="dxa"/>
        <w:jc w:val="left"/>
        <w:tblInd w:w="0" w:type="dxa"/>
        <w:tblLayout w:type="fixed"/>
        <w:tblCellMar>
          <w:top w:w="0" w:type="dxa"/>
          <w:left w:w="0" w:type="dxa"/>
          <w:bottom w:w="0" w:type="dxa"/>
          <w:right w:w="0" w:type="dxa"/>
        </w:tblCellMar>
      </w:tblPr>
      <w:tblGrid>
        <w:gridCol w:w="4250"/>
        <w:gridCol w:w="60"/>
        <w:gridCol w:w="230"/>
        <w:gridCol w:w="479"/>
        <w:gridCol w:w="60"/>
        <w:gridCol w:w="60"/>
        <w:gridCol w:w="231"/>
        <w:gridCol w:w="898"/>
        <w:gridCol w:w="60"/>
      </w:tblGrid>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Trade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Other</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7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7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7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employee benefits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on income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of disposal group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7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and postretirement obligations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7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 of disposal group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0" w:name="fn3"/>
      <w:bookmarkEnd w:id="10"/>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xml:space="preserve">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intangible assets (excluding fully-amortized intangible assets)</w:t>
      </w:r>
      <w:r>
        <w:rPr>
          <w:rFonts w:ascii="Times New Roman;Times;serif" w:hAnsi="Times New Roman;Times;serif"/>
          <w:sz w:val="20"/>
        </w:rPr>
        <w:t> —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88"/>
        <w:gridCol w:w="60"/>
        <w:gridCol w:w="232"/>
        <w:gridCol w:w="896"/>
        <w:gridCol w:w="60"/>
        <w:gridCol w:w="60"/>
        <w:gridCol w:w="255"/>
        <w:gridCol w:w="687"/>
        <w:gridCol w:w="60"/>
        <w:gridCol w:w="60"/>
        <w:gridCol w:w="433"/>
        <w:gridCol w:w="1009"/>
        <w:gridCol w:w="80"/>
        <w:gridCol w:w="60"/>
        <w:gridCol w:w="322"/>
        <w:gridCol w:w="594"/>
        <w:gridCol w:w="60"/>
        <w:gridCol w:w="60"/>
        <w:gridCol w:w="255"/>
        <w:gridCol w:w="687"/>
        <w:gridCol w:w="60"/>
        <w:gridCol w:w="60"/>
        <w:gridCol w:w="433"/>
        <w:gridCol w:w="1009"/>
        <w:gridCol w:w="80"/>
        <w:gridCol w:w="60"/>
        <w:gridCol w:w="322"/>
        <w:gridCol w:w="594"/>
        <w:gridCol w:w="69"/>
      </w:tblGrid>
      <w:tr>
        <w:trPr/>
        <w:tc>
          <w:tcPr>
            <w:tcW w:w="1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 Average Useful Life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 Impairment and 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 Impairment and 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Carrying Amount</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158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9" w:type="dxa"/>
            <w:tcBorders/>
            <w:shd w:fill="FFFFFF" w:val="clear"/>
            <w:vAlign w:val="center"/>
          </w:tcPr>
          <w:p>
            <w:pPr>
              <w:pStyle w:val="TableContents"/>
              <w:bidi w:val="0"/>
              <w:spacing w:before="0" w:after="283"/>
              <w:jc w:val="left"/>
              <w:rPr/>
            </w:pPr>
            <w:r>
              <w:rPr/>
              <w:t> </w:t>
            </w:r>
          </w:p>
        </w:tc>
      </w:tr>
      <w:tr>
        <w:trPr/>
        <w:tc>
          <w:tcPr>
            <w:tcW w:w="15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9" w:type="dxa"/>
            <w:tcBorders/>
            <w:shd w:fill="CCEEFF" w:val="clear"/>
            <w:vAlign w:val="center"/>
          </w:tcPr>
          <w:p>
            <w:pPr>
              <w:pStyle w:val="TableContents"/>
              <w:bidi w:val="0"/>
              <w:spacing w:before="0" w:after="283"/>
              <w:jc w:val="left"/>
              <w:rPr/>
            </w:pPr>
            <w:r>
              <w:rPr/>
              <w:t> </w:t>
            </w:r>
          </w:p>
        </w:tc>
      </w:tr>
      <w:tr>
        <w:trPr/>
        <w:tc>
          <w:tcPr>
            <w:tcW w:w="15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Non-amortizable intangible assets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158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amounts of intangible assets attributable to each of our operating segments—  </w:t>
      </w:r>
    </w:p>
    <w:p>
      <w:pPr>
        <w:pStyle w:val="TextBody"/>
        <w:bidi w:val="0"/>
        <w:spacing w:before="0" w:after="0"/>
        <w:ind w:left="0" w:right="0" w:hanging="0"/>
        <w:jc w:val="left"/>
        <w:rPr/>
      </w:pPr>
      <w:r>
        <w:rPr/>
        <w:t> </w:t>
      </w:r>
    </w:p>
    <w:tbl>
      <w:tblPr>
        <w:tblW w:w="2979" w:type="dxa"/>
        <w:jc w:val="left"/>
        <w:tblInd w:w="0" w:type="dxa"/>
        <w:tblLayout w:type="fixed"/>
        <w:tblCellMar>
          <w:top w:w="0" w:type="dxa"/>
          <w:left w:w="0" w:type="dxa"/>
          <w:bottom w:w="0" w:type="dxa"/>
          <w:right w:w="0" w:type="dxa"/>
        </w:tblCellMar>
      </w:tblPr>
      <w:tblGrid>
        <w:gridCol w:w="1685"/>
        <w:gridCol w:w="60"/>
        <w:gridCol w:w="412"/>
        <w:gridCol w:w="762"/>
        <w:gridCol w:w="60"/>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Amortization expense related to amortizable intangible assets</w:t>
      </w:r>
      <w:r>
        <w:rPr>
          <w:rFonts w:ascii="Times New Roman;Times;serif" w:hAnsi="Times New Roman;Times;serif"/>
          <w:sz w:val="20"/>
        </w:rPr>
        <w:t xml:space="preserve"> — </w:t>
      </w:r>
    </w:p>
    <w:p>
      <w:pPr>
        <w:pStyle w:val="TextBody"/>
        <w:bidi w:val="0"/>
        <w:spacing w:before="0" w:after="0"/>
        <w:ind w:left="0" w:right="0" w:hanging="0"/>
        <w:jc w:val="left"/>
        <w:rPr/>
      </w:pPr>
      <w:r>
        <w:rPr/>
        <w:t> </w:t>
      </w:r>
    </w:p>
    <w:tbl>
      <w:tblPr>
        <w:tblW w:w="6623" w:type="dxa"/>
        <w:jc w:val="left"/>
        <w:tblInd w:w="0" w:type="dxa"/>
        <w:tblLayout w:type="fixed"/>
        <w:tblCellMar>
          <w:top w:w="0" w:type="dxa"/>
          <w:left w:w="0" w:type="dxa"/>
          <w:bottom w:w="0" w:type="dxa"/>
          <w:right w:w="0" w:type="dxa"/>
        </w:tblCellMar>
      </w:tblPr>
      <w:tblGrid>
        <w:gridCol w:w="3170"/>
        <w:gridCol w:w="60"/>
        <w:gridCol w:w="345"/>
        <w:gridCol w:w="345"/>
        <w:gridCol w:w="164"/>
        <w:gridCol w:w="164"/>
        <w:gridCol w:w="345"/>
        <w:gridCol w:w="348"/>
        <w:gridCol w:w="60"/>
        <w:gridCol w:w="60"/>
        <w:gridCol w:w="303"/>
        <w:gridCol w:w="303"/>
        <w:gridCol w:w="144"/>
        <w:gridCol w:w="144"/>
        <w:gridCol w:w="303"/>
        <w:gridCol w:w="305"/>
        <w:gridCol w:w="6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6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 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 amortization of intangibles</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1" w:name="fn4"/>
      <w:bookmarkEnd w:id="11"/>
      <w:r>
        <w:rPr>
          <w:rFonts w:ascii="Times New Roman;Times;serif" w:hAnsi="Times New Roman;Times;serif"/>
          <w:b/>
          <w:sz w:val="20"/>
        </w:rPr>
        <w:t xml:space="preserve">Note </w:t>
      </w:r>
      <w:r>
        <w:rPr>
          <w:rStyle w:val="Emphasis"/>
          <w:rFonts w:ascii="Times New Roman;Times;serif" w:hAnsi="Times New Roman;Times;serif"/>
          <w:b/>
          <w:sz w:val="20"/>
        </w:rPr>
        <w:t>4.</w:t>
      </w:r>
      <w:r>
        <w:rPr>
          <w:rFonts w:ascii="Times New Roman;Times;serif" w:hAnsi="Times New Roman;Times;serif"/>
          <w:b/>
          <w:sz w:val="20"/>
        </w:rPr>
        <w:t xml:space="preserve"> Restructuring of Operations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restructuring activities include rationalizing our operating footprint by consolidating facilities, positioning operations in lower cost locations, and headcount reduction initiatives focused on reducing operating and overhead costs. Restructuring expense includes costs associated with current and previously announced actions and is comprised of contractual and noncontractual separation costs and exit costs, including certain costs of facilities that we are in the process of closing.</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During </w:t>
      </w:r>
      <w:r>
        <w:rPr>
          <w:rStyle w:val="Emphasis"/>
          <w:rFonts w:ascii="Times New Roman;Times;serif" w:hAnsi="Times New Roman;Times;serif"/>
          <w:sz w:val="20"/>
        </w:rPr>
        <w:t>2024,</w:t>
      </w:r>
      <w:r>
        <w:rPr>
          <w:rFonts w:ascii="Times New Roman;Times;serif" w:hAnsi="Times New Roman;Times;serif"/>
          <w:sz w:val="20"/>
        </w:rPr>
        <w:t xml:space="preserve"> we announced actions to consolidate certain manufacturing facilities along with global headcount reductions focused on reducing engineering and overhead costs in response to market dynamics, including delays in the adoption of electric vehicles. During </w:t>
      </w:r>
      <w:r>
        <w:rPr>
          <w:rStyle w:val="Emphasis"/>
          <w:rFonts w:ascii="Times New Roman;Times;serif" w:hAnsi="Times New Roman;Times;serif"/>
          <w:sz w:val="20"/>
        </w:rPr>
        <w:t>2026,</w:t>
      </w:r>
      <w:r>
        <w:rPr>
          <w:rFonts w:ascii="Times New Roman;Times;serif" w:hAnsi="Times New Roman;Times;serif"/>
          <w:sz w:val="20"/>
        </w:rPr>
        <w:t xml:space="preserve"> we continued to execute on these initiatives.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Accrued restructuring costs and activity </w:t>
      </w:r>
      <w:r>
        <w:rPr>
          <w:rFonts w:ascii="Times New Roman;Times;serif" w:hAnsi="Times New Roman;Times;serif"/>
          <w:sz w:val="20"/>
        </w:rPr>
        <w:t>—</w:t>
      </w:r>
    </w:p>
    <w:p>
      <w:pPr>
        <w:pStyle w:val="TextBody"/>
        <w:bidi w:val="0"/>
        <w:spacing w:before="0" w:after="0"/>
        <w:ind w:left="0" w:right="0" w:hanging="0"/>
        <w:jc w:val="left"/>
        <w:rPr/>
      </w:pPr>
      <w:r>
        <w:rPr/>
        <w:t> </w:t>
      </w:r>
    </w:p>
    <w:tbl>
      <w:tblPr>
        <w:tblW w:w="6633" w:type="dxa"/>
        <w:jc w:val="left"/>
        <w:tblInd w:w="0" w:type="dxa"/>
        <w:tblLayout w:type="fixed"/>
        <w:tblCellMar>
          <w:top w:w="0" w:type="dxa"/>
          <w:left w:w="0" w:type="dxa"/>
          <w:bottom w:w="0" w:type="dxa"/>
          <w:right w:w="0" w:type="dxa"/>
        </w:tblCellMar>
      </w:tblPr>
      <w:tblGrid>
        <w:gridCol w:w="2345"/>
        <w:gridCol w:w="60"/>
        <w:gridCol w:w="772"/>
        <w:gridCol w:w="1797"/>
        <w:gridCol w:w="80"/>
        <w:gridCol w:w="60"/>
        <w:gridCol w:w="253"/>
        <w:gridCol w:w="591"/>
        <w:gridCol w:w="80"/>
        <w:gridCol w:w="60"/>
        <w:gridCol w:w="137"/>
        <w:gridCol w:w="318"/>
        <w:gridCol w:w="8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Employee Termination 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Exit Costs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0"/>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Charges to restructuring</w:t>
            </w:r>
          </w:p>
        </w:tc>
        <w:tc>
          <w:tcPr>
            <w:tcW w:w="6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ind w:left="0" w:right="0" w:hanging="0"/>
              <w:jc w:val="left"/>
              <w:rPr/>
            </w:pPr>
            <w:r>
              <w:rPr/>
              <w:t> </w:t>
            </w:r>
          </w:p>
        </w:tc>
        <w:tc>
          <w:tcPr>
            <w:tcW w:w="1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3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of accruals</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payments</w:t>
            </w:r>
          </w:p>
        </w:tc>
        <w:tc>
          <w:tcPr>
            <w:tcW w:w="60" w:type="dxa"/>
            <w:tcBorders/>
            <w:shd w:fill="FFFFFF" w:val="clear"/>
            <w:vAlign w:val="center"/>
          </w:tcPr>
          <w:p>
            <w:pPr>
              <w:pStyle w:val="TableContents"/>
              <w:bidi w:val="0"/>
              <w:spacing w:before="0" w:after="0"/>
              <w:ind w:left="0" w:right="0" w:hanging="0"/>
              <w:jc w:val="left"/>
              <w:rPr/>
            </w:pPr>
            <w:r>
              <w:rPr/>
              <w:t> </w:t>
            </w:r>
          </w:p>
        </w:tc>
        <w:tc>
          <w:tcPr>
            <w:tcW w:w="772" w:type="dxa"/>
            <w:tcBorders/>
            <w:shd w:fill="FFFFFF" w:val="clear"/>
            <w:vAlign w:val="center"/>
          </w:tcPr>
          <w:p>
            <w:pPr>
              <w:pStyle w:val="TableContents"/>
              <w:bidi w:val="0"/>
              <w:spacing w:before="0" w:after="0"/>
              <w:ind w:left="0" w:right="0" w:hanging="0"/>
              <w:jc w:val="left"/>
              <w:rPr/>
            </w:pPr>
            <w:r>
              <w:rPr/>
              <w:t> </w:t>
            </w:r>
          </w:p>
        </w:tc>
        <w:tc>
          <w:tcPr>
            <w:tcW w:w="179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shd w:fill="FFFFFF" w:val="clear"/>
            <w:vAlign w:val="center"/>
          </w:tcPr>
          <w:p>
            <w:pPr>
              <w:pStyle w:val="TableContents"/>
              <w:bidi w:val="0"/>
              <w:spacing w:before="0" w:after="0"/>
              <w:ind w:left="0" w:right="0" w:hanging="0"/>
              <w:jc w:val="left"/>
              <w:rPr/>
            </w:pPr>
            <w:r>
              <w:rPr/>
              <w:t> </w:t>
            </w:r>
          </w:p>
        </w:tc>
        <w:tc>
          <w:tcPr>
            <w:tcW w:w="59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3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Currency impact</w:t>
            </w:r>
          </w:p>
        </w:tc>
        <w:tc>
          <w:tcPr>
            <w:tcW w:w="60" w:type="dxa"/>
            <w:tcBorders/>
            <w:shd w:fill="CCEEFF" w:val="cle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2025</w:t>
            </w:r>
          </w:p>
        </w:tc>
        <w:tc>
          <w:tcPr>
            <w:tcW w:w="6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7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Charges to restructuring</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of accruals</w:t>
            </w:r>
          </w:p>
        </w:tc>
        <w:tc>
          <w:tcPr>
            <w:tcW w:w="6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Currency impact</w:t>
            </w:r>
          </w:p>
        </w:tc>
        <w:tc>
          <w:tcPr>
            <w:tcW w:w="60" w:type="dxa"/>
            <w:tcBorders/>
            <w:shd w:fill="FFFFFF" w:val="cle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At </w:t>
      </w:r>
      <w:r>
        <w:rPr>
          <w:rStyle w:val="Emphasis"/>
          <w:rFonts w:ascii="Times New Roman;Times;serif" w:hAnsi="Times New Roman;Times;serif"/>
          <w:sz w:val="20"/>
        </w:rPr>
        <w:t>June 30, 2026</w:t>
      </w:r>
      <w:r>
        <w:rPr>
          <w:rFonts w:ascii="Times New Roman;Times;serif" w:hAnsi="Times New Roman;Times;serif"/>
          <w:sz w:val="20"/>
        </w:rPr>
        <w:t>, the accrued employee termination benefits include costs to reduce approximately</w:t>
      </w:r>
      <w:r>
        <w:rPr>
          <w:rFonts w:ascii="Times New Roman;Times;serif" w:hAnsi="Times New Roman;Times;serif"/>
          <w:sz w:val="20"/>
          <w:shd w:fill="FFFFFF" w:val="clear"/>
        </w:rPr>
        <w:t> 200 e</w:t>
      </w:r>
      <w:r>
        <w:rPr>
          <w:rFonts w:ascii="Times New Roman;Times;serif" w:hAnsi="Times New Roman;Times;serif"/>
          <w:sz w:val="20"/>
        </w:rPr>
        <w:t>mployees to be complet</w:t>
      </w:r>
      <w:r>
        <w:rPr>
          <w:rFonts w:ascii="Times New Roman;Times;serif" w:hAnsi="Times New Roman;Times;serif"/>
          <w:sz w:val="20"/>
          <w:shd w:fill="FFFFFF" w:val="clear"/>
        </w:rPr>
        <w:t>ed over the next year.</w:t>
      </w:r>
    </w:p>
    <w:p>
      <w:pPr>
        <w:pStyle w:val="TextBody"/>
        <w:bidi w:val="0"/>
        <w:spacing w:before="0" w:after="283"/>
        <w:jc w:val="left"/>
        <w:rPr/>
      </w:pPr>
      <w:r>
        <w:rPr/>
        <w:t xml:space="preserve">  </w:t>
      </w:r>
    </w:p>
    <w:p>
      <w:pPr>
        <w:pStyle w:val="TextBody"/>
        <w:bidi w:val="0"/>
        <w:spacing w:before="0" w:after="0"/>
        <w:ind w:left="0" w:right="0" w:hanging="0"/>
        <w:jc w:val="left"/>
        <w:rPr/>
      </w:pPr>
      <w:bookmarkStart w:id="12" w:name="fn5"/>
      <w:bookmarkEnd w:id="12"/>
      <w:r>
        <w:rPr>
          <w:rFonts w:ascii="Times New Roman;Times;serif" w:hAnsi="Times New Roman;Times;serif"/>
          <w:b/>
          <w:sz w:val="20"/>
        </w:rPr>
        <w:t xml:space="preserve">Note </w:t>
      </w:r>
      <w:r>
        <w:rPr>
          <w:rStyle w:val="Emphasis"/>
          <w:rFonts w:ascii="Times New Roman;Times;serif" w:hAnsi="Times New Roman;Times;serif"/>
          <w:b/>
          <w:sz w:val="20"/>
        </w:rPr>
        <w:t>5.</w:t>
      </w:r>
      <w:r>
        <w:rPr>
          <w:rFonts w:ascii="Times New Roman;Times;serif" w:hAnsi="Times New Roman;Times;serif"/>
          <w:b/>
          <w:sz w:val="20"/>
        </w:rPr>
        <w:t xml:space="preserve"> Supplemental Balance Sheet and Cash Flow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i/>
          <w:caps w:val="false"/>
          <w:smallCaps w:val="false"/>
          <w:sz w:val="20"/>
        </w:rPr>
        <w:t>Non-cash investing and financing activities</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modified an operating lease, resulting in a reassessment and reclassification of the lease as a finance lease. At the modification date, the carrying amounts of the operating lease right-of-use asset and lease liability were $62 million and $57 million, respectively. Following remeasurement, the Company recognized a finance lease right-of-use asset of $103 million and a finance lease liability of $98 million. The modification was a non-cash transaction and therefore is excluded from the consolidated statements of cash flows.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Supplier finance programs</w:t>
      </w:r>
      <w:r>
        <w:rPr>
          <w:rFonts w:ascii="Times New Roman;Times;serif" w:hAnsi="Times New Roman;Times;serif"/>
          <w:sz w:val="20"/>
        </w:rPr>
        <w:t xml:space="preserve"> —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we had $54 and $59, respectively, of confirmed obligations subject to supplier finance programs presented as accounts payable within total current liabilities on the consolidated balance sheet.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Inventory components </w:t>
      </w:r>
      <w:r>
        <w:rPr>
          <w:rFonts w:ascii="Times New Roman;Times;serif" w:hAnsi="Times New Roman;Times;serif"/>
          <w:sz w:val="20"/>
        </w:rPr>
        <w:t>—</w:t>
      </w:r>
    </w:p>
    <w:p>
      <w:pPr>
        <w:pStyle w:val="TextBody"/>
        <w:bidi w:val="0"/>
        <w:spacing w:before="0" w:after="0"/>
        <w:ind w:left="0" w:right="0" w:hanging="0"/>
        <w:jc w:val="left"/>
        <w:rPr/>
      </w:pPr>
      <w:r>
        <w:rPr/>
        <w:t> </w:t>
      </w:r>
    </w:p>
    <w:tbl>
      <w:tblPr>
        <w:tblW w:w="5923" w:type="dxa"/>
        <w:jc w:val="left"/>
        <w:tblInd w:w="0" w:type="dxa"/>
        <w:tblLayout w:type="fixed"/>
        <w:tblCellMar>
          <w:top w:w="0" w:type="dxa"/>
          <w:left w:w="0" w:type="dxa"/>
          <w:bottom w:w="0" w:type="dxa"/>
          <w:right w:w="0" w:type="dxa"/>
        </w:tblCellMar>
      </w:tblPr>
      <w:tblGrid>
        <w:gridCol w:w="2915"/>
        <w:gridCol w:w="60"/>
        <w:gridCol w:w="319"/>
        <w:gridCol w:w="855"/>
        <w:gridCol w:w="60"/>
        <w:gridCol w:w="60"/>
        <w:gridCol w:w="326"/>
        <w:gridCol w:w="1268"/>
        <w:gridCol w:w="6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 and finished goods</w:t>
            </w:r>
          </w:p>
        </w:tc>
        <w:tc>
          <w:tcPr>
            <w:tcW w:w="60" w:type="dxa"/>
            <w:tcBorders/>
            <w:shd w:fill="FFFFFF" w:val="clear"/>
            <w:vAlign w:val="center"/>
          </w:tcPr>
          <w:p>
            <w:pPr>
              <w:pStyle w:val="TableContents"/>
              <w:bidi w:val="0"/>
              <w:spacing w:before="0" w:after="0"/>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cash equivalents and restricted cash —</w:t>
      </w:r>
    </w:p>
    <w:p>
      <w:pPr>
        <w:pStyle w:val="TextBody"/>
        <w:bidi w:val="0"/>
        <w:spacing w:before="0" w:after="0"/>
        <w:ind w:left="0" w:right="0" w:hanging="0"/>
        <w:jc w:val="left"/>
        <w:rPr/>
      </w:pPr>
      <w:r>
        <w:rPr/>
        <w:t> </w:t>
      </w:r>
    </w:p>
    <w:tbl>
      <w:tblPr>
        <w:tblW w:w="10146" w:type="dxa"/>
        <w:jc w:val="left"/>
        <w:tblInd w:w="0" w:type="dxa"/>
        <w:tblLayout w:type="fixed"/>
        <w:tblCellMar>
          <w:top w:w="0" w:type="dxa"/>
          <w:left w:w="0" w:type="dxa"/>
          <w:bottom w:w="0" w:type="dxa"/>
          <w:right w:w="0" w:type="dxa"/>
        </w:tblCellMar>
      </w:tblPr>
      <w:tblGrid>
        <w:gridCol w:w="4130"/>
        <w:gridCol w:w="60"/>
        <w:gridCol w:w="319"/>
        <w:gridCol w:w="855"/>
        <w:gridCol w:w="60"/>
        <w:gridCol w:w="60"/>
        <w:gridCol w:w="432"/>
        <w:gridCol w:w="1162"/>
        <w:gridCol w:w="60"/>
        <w:gridCol w:w="60"/>
        <w:gridCol w:w="319"/>
        <w:gridCol w:w="855"/>
        <w:gridCol w:w="60"/>
        <w:gridCol w:w="60"/>
        <w:gridCol w:w="432"/>
        <w:gridCol w:w="1162"/>
        <w:gridCol w:w="6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included in other current assets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included in other noncurrent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Mandatorily redeemable noncontrolling interest — </w:t>
      </w:r>
      <w:r>
        <w:rPr>
          <w:rFonts w:ascii="Times New Roman;Times;serif" w:hAnsi="Times New Roman;Times;serif"/>
          <w:sz w:val="20"/>
        </w:rPr>
        <w:t xml:space="preserve">Hydro-Québec owned a 45% redeemable noncontrolling interest in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The terms of the joint venture agreement provided Hydro-Québec with the right to put all, and </w:t>
      </w:r>
      <w:r>
        <w:rPr>
          <w:rStyle w:val="Emphasis"/>
          <w:rFonts w:ascii="Times New Roman;Times;serif" w:hAnsi="Times New Roman;Times;serif"/>
          <w:sz w:val="20"/>
        </w:rPr>
        <w:t>not</w:t>
      </w:r>
      <w:r>
        <w:rPr>
          <w:rFonts w:ascii="Times New Roman;Times;serif" w:hAnsi="Times New Roman;Times;serif"/>
          <w:sz w:val="20"/>
        </w:rPr>
        <w:t xml:space="preserve"> less than all, of its ownership interests in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to Dana at fair value. On </w:t>
      </w:r>
      <w:r>
        <w:rPr>
          <w:rStyle w:val="Emphasis"/>
          <w:rFonts w:ascii="Times New Roman;Times;serif" w:hAnsi="Times New Roman;Times;serif"/>
          <w:sz w:val="20"/>
        </w:rPr>
        <w:t xml:space="preserve">May 6, 2024, </w:t>
      </w:r>
      <w:r>
        <w:rPr>
          <w:rFonts w:ascii="Times New Roman;Times;serif" w:hAnsi="Times New Roman;Times;serif"/>
          <w:sz w:val="20"/>
        </w:rPr>
        <w:t>Hydro</w:t>
        <w:noBreakHyphen/>
        <w:t xml:space="preserve">Québec delivered its put notice to Dana. Following this notice, Dana ceased attributing net income (loss) and other comprehensive income (loss) of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to Hydro</w:t>
        <w:noBreakHyphen/>
        <w:t xml:space="preserve">Québec’s redeemable noncontrolling interest. During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2025,</w:t>
      </w:r>
      <w:r>
        <w:rPr>
          <w:rFonts w:ascii="Times New Roman;Times;serif" w:hAnsi="Times New Roman;Times;serif"/>
          <w:sz w:val="20"/>
        </w:rPr>
        <w:t xml:space="preserve"> we finalized the purchase price with Hydro</w:t>
        <w:noBreakHyphen/>
        <w:t xml:space="preserve">Québec resulting in the redeemable noncontrolling interest becoming mandatorily redeemable and reclassified the $190 redemption value to other current liabilities. On </w:t>
      </w:r>
      <w:r>
        <w:rPr>
          <w:rStyle w:val="Emphasis"/>
          <w:rFonts w:ascii="Times New Roman;Times;serif" w:hAnsi="Times New Roman;Times;serif"/>
          <w:sz w:val="20"/>
        </w:rPr>
        <w:t xml:space="preserve">January 20, 2026, </w:t>
      </w:r>
      <w:r>
        <w:rPr>
          <w:rFonts w:ascii="Times New Roman;Times;serif" w:hAnsi="Times New Roman;Times;serif"/>
          <w:sz w:val="20"/>
        </w:rPr>
        <w:t>the transaction was completed and we paid Hydro-Québec the full purchase price of $190.</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3" w:name="fn6"/>
      <w:bookmarkEnd w:id="13"/>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xml:space="preserve"> Stockholders’ Equity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Common stock</w:t>
      </w:r>
      <w:r>
        <w:rPr>
          <w:rFonts w:ascii="Times New Roman;Times;serif" w:hAnsi="Times New Roman;Times;serif"/>
          <w:sz w:val="20"/>
        </w:rPr>
        <w:t xml:space="preserve"> — Our Board of Directors declared a cash dividend of twelve cents per share of common stock in the </w:t>
      </w:r>
      <w:r>
        <w:rPr>
          <w:rStyle w:val="Emphasis"/>
          <w:rFonts w:ascii="Times New Roman;Times;serif" w:hAnsi="Times New Roman;Times;serif"/>
          <w:sz w:val="20"/>
        </w:rPr>
        <w:t>first</w:t>
      </w:r>
      <w:r>
        <w:rPr>
          <w:rFonts w:ascii="Times New Roman;Times;serif" w:hAnsi="Times New Roman;Times;serif"/>
          <w:sz w:val="20"/>
        </w:rPr>
        <w:t xml:space="preserve"> and </w:t>
      </w:r>
      <w:r>
        <w:rPr>
          <w:rStyle w:val="Emphasis"/>
          <w:rFonts w:ascii="Times New Roman;Times;serif" w:hAnsi="Times New Roman;Times;serif"/>
          <w:sz w:val="20"/>
        </w:rPr>
        <w:t>second</w:t>
      </w:r>
      <w:r>
        <w:rPr>
          <w:rFonts w:ascii="Times New Roman;Times;serif" w:hAnsi="Times New Roman;Times;serif"/>
          <w:sz w:val="20"/>
        </w:rPr>
        <w:t> quarters of </w:t>
      </w:r>
      <w:r>
        <w:rPr>
          <w:rStyle w:val="Emphasis"/>
          <w:rFonts w:ascii="Times New Roman;Times;serif" w:hAnsi="Times New Roman;Times;serif"/>
          <w:sz w:val="20"/>
        </w:rPr>
        <w:t>2026.</w:t>
      </w:r>
      <w:r>
        <w:rPr>
          <w:rFonts w:ascii="Times New Roman;Times;serif" w:hAnsi="Times New Roman;Times;serif"/>
          <w:sz w:val="20"/>
        </w:rPr>
        <w:t xml:space="preserve"> Dividends accrue on restricted stock units (RSUs), </w:t>
      </w:r>
      <w:r>
        <w:rPr>
          <w:rFonts w:ascii="Times New Roman;Times;serif" w:hAnsi="Times New Roman;Times;serif"/>
          <w:sz w:val="20"/>
          <w:shd w:fill="FFFFFF" w:val="clear"/>
        </w:rPr>
        <w:t>performance share units (PSUs) and the Dana Transformation Awards granted under our stock compensation program and will be paid in cash or additional units when the underlying units vest.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shd w:fill="FFFFFF" w:val="clear"/>
        </w:rPr>
        <w:t>Share repurchase program</w:t>
      </w:r>
      <w:r>
        <w:rPr>
          <w:rFonts w:ascii="Times New Roman;Times;serif" w:hAnsi="Times New Roman;Times;serif"/>
          <w:sz w:val="20"/>
        </w:rPr>
        <w:t xml:space="preserve"> — On </w:t>
      </w:r>
      <w:r>
        <w:rPr>
          <w:rStyle w:val="Emphasis"/>
          <w:rFonts w:ascii="Times New Roman;Times;serif" w:hAnsi="Times New Roman;Times;serif"/>
          <w:sz w:val="20"/>
        </w:rPr>
        <w:t xml:space="preserve">June 8, 2025 </w:t>
      </w:r>
      <w:r>
        <w:rPr>
          <w:rFonts w:ascii="Times New Roman;Times;serif" w:hAnsi="Times New Roman;Times;serif"/>
          <w:sz w:val="20"/>
        </w:rPr>
        <w:t xml:space="preserve">our Board of Directors approved a stock repurchase program of up to an aggregate of $1,000 less any amount of special dividends distributed in connection with the sale of the Off-Highway business. The program was set to expire on </w:t>
      </w:r>
      <w:r>
        <w:rPr>
          <w:rStyle w:val="Emphasis"/>
          <w:rFonts w:ascii="Times New Roman;Times;serif" w:hAnsi="Times New Roman;Times;serif"/>
          <w:sz w:val="20"/>
        </w:rPr>
        <w:t xml:space="preserve">December 31, 2027. </w:t>
      </w:r>
      <w:r>
        <w:rPr>
          <w:rFonts w:ascii="Times New Roman;Times;serif" w:hAnsi="Times New Roman;Times;serif"/>
          <w:sz w:val="20"/>
        </w:rPr>
        <w:t xml:space="preserve">On </w:t>
      </w:r>
      <w:r>
        <w:rPr>
          <w:rStyle w:val="Emphasis"/>
          <w:rFonts w:ascii="Times New Roman;Times;serif" w:hAnsi="Times New Roman;Times;serif"/>
          <w:sz w:val="20"/>
        </w:rPr>
        <w:t xml:space="preserve">February 11, 2026, </w:t>
      </w:r>
      <w:r>
        <w:rPr>
          <w:rFonts w:ascii="Times New Roman;Times;serif" w:hAnsi="Times New Roman;Times;serif"/>
          <w:sz w:val="20"/>
        </w:rPr>
        <w:t xml:space="preserve">our Board of Directors increased and extended the share repurchase program to a total of $2,000 through </w:t>
      </w:r>
      <w:r>
        <w:rPr>
          <w:rStyle w:val="Emphasis"/>
          <w:rFonts w:ascii="Times New Roman;Times;serif" w:hAnsi="Times New Roman;Times;serif"/>
          <w:sz w:val="20"/>
        </w:rPr>
        <w:t xml:space="preserve">December 31, 2030. </w:t>
      </w:r>
      <w:r>
        <w:rPr>
          <w:rFonts w:ascii="Times New Roman;Times;serif" w:hAnsi="Times New Roman;Times;serif"/>
          <w:sz w:val="20"/>
        </w:rPr>
        <w:t xml:space="preserve">We repurchased 1,240,858 and 5,664,914 shares of our common stock at an aggregate cost of $44 and $169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 </w:t>
      </w:r>
      <w:r>
        <w:rPr>
          <w:rFonts w:ascii="Times New Roman;Times;serif" w:hAnsi="Times New Roman;Times;serif"/>
          <w:sz w:val="20"/>
        </w:rPr>
        <w:t xml:space="preserve">through open market transactions. Approximately $1,181 remained available under the program for future share repurchases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Inflation Reduction Act of </w:t>
      </w:r>
      <w:r>
        <w:rPr>
          <w:rStyle w:val="Emphasis"/>
          <w:rFonts w:ascii="Times New Roman;Times;serif" w:hAnsi="Times New Roman;Times;serif"/>
          <w:sz w:val="20"/>
        </w:rPr>
        <w:t>2022,</w:t>
      </w:r>
      <w:r>
        <w:rPr>
          <w:rFonts w:ascii="Times New Roman;Times;serif" w:hAnsi="Times New Roman;Times;serif"/>
          <w:sz w:val="20"/>
        </w:rPr>
        <w:t xml:space="preserve"> which was enacted into law on </w:t>
      </w:r>
      <w:r>
        <w:rPr>
          <w:rStyle w:val="Emphasis"/>
          <w:rFonts w:ascii="Times New Roman;Times;serif" w:hAnsi="Times New Roman;Times;serif"/>
          <w:sz w:val="20"/>
        </w:rPr>
        <w:t xml:space="preserve">August 16, 2022, </w:t>
      </w:r>
      <w:r>
        <w:rPr>
          <w:rFonts w:ascii="Times New Roman;Times;serif" w:hAnsi="Times New Roman;Times;serif"/>
          <w:sz w:val="20"/>
        </w:rPr>
        <w:t xml:space="preserve">imposed a non-deductible </w:t>
      </w:r>
      <w:r>
        <w:rPr>
          <w:rStyle w:val="Emphasis"/>
          <w:rFonts w:ascii="Times New Roman;Times;serif" w:hAnsi="Times New Roman;Times;serif"/>
          <w:sz w:val="20"/>
        </w:rPr>
        <w:t>1%</w:t>
      </w:r>
      <w:r>
        <w:rPr>
          <w:rFonts w:ascii="Times New Roman;Times;serif" w:hAnsi="Times New Roman;Times;serif"/>
          <w:sz w:val="20"/>
        </w:rPr>
        <w:t xml:space="preserve"> excise tax on the net value of certain stock repurchases made after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We reflect the applicable excise tax as part of the cost basis of the stock repurchased and record a corresponding liability for the excise taxes payable in other accrued liabilities on our consolidated balance sheet.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paid $6 of excise taxes related to </w:t>
      </w:r>
      <w:r>
        <w:rPr>
          <w:rStyle w:val="Emphasis"/>
          <w:rFonts w:ascii="Times New Roman;Times;serif" w:hAnsi="Times New Roman;Times;serif"/>
          <w:sz w:val="20"/>
        </w:rPr>
        <w:t>2025</w:t>
      </w:r>
      <w:r>
        <w:rPr>
          <w:rFonts w:ascii="Times New Roman;Times;serif" w:hAnsi="Times New Roman;Times;serif"/>
          <w:sz w:val="20"/>
        </w:rPr>
        <w:t xml:space="preserve"> share repurchases. The payment is included in other, net within financing activities in the consolidated statement of cash flows. All dollar amounts presented in this report related to our share repurchases and our share repurchase authorization exclude such excise taxes, to the extent applicable, unless otherwise indicated.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equity</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897"/>
        <w:gridCol w:w="60"/>
        <w:gridCol w:w="405"/>
        <w:gridCol w:w="405"/>
        <w:gridCol w:w="60"/>
        <w:gridCol w:w="60"/>
        <w:gridCol w:w="229"/>
        <w:gridCol w:w="886"/>
        <w:gridCol w:w="80"/>
        <w:gridCol w:w="60"/>
        <w:gridCol w:w="180"/>
        <w:gridCol w:w="705"/>
        <w:gridCol w:w="80"/>
        <w:gridCol w:w="60"/>
        <w:gridCol w:w="240"/>
        <w:gridCol w:w="570"/>
        <w:gridCol w:w="80"/>
        <w:gridCol w:w="60"/>
        <w:gridCol w:w="312"/>
        <w:gridCol w:w="1384"/>
        <w:gridCol w:w="80"/>
        <w:gridCol w:w="60"/>
        <w:gridCol w:w="483"/>
        <w:gridCol w:w="882"/>
        <w:gridCol w:w="80"/>
        <w:gridCol w:w="60"/>
        <w:gridCol w:w="132"/>
        <w:gridCol w:w="513"/>
        <w:gridCol w:w="102"/>
      </w:tblGrid>
      <w:tr>
        <w:trPr/>
        <w:tc>
          <w:tcPr>
            <w:tcW w:w="18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Common Stock</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Additional Paid-In Capital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Retained Earnings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Treasury Stock</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Accumulated Other Comprehensive Loss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Non-controlling Interests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Total Equity</w:t>
            </w:r>
          </w:p>
        </w:tc>
        <w:tc>
          <w:tcPr>
            <w:tcW w:w="102"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899</w:t>
            </w:r>
          </w:p>
        </w:tc>
        <w:tc>
          <w:tcPr>
            <w:tcW w:w="102" w:type="dxa"/>
            <w:tcBorders/>
            <w:shd w:fill="CCEEFF" w:val="clear"/>
            <w:tcMar>
              <w:bottom w:w="0" w:type="dxa"/>
            </w:tcMar>
            <w:vAlign w:val="center"/>
          </w:tcPr>
          <w:p>
            <w:pPr>
              <w:pStyle w:val="TableContents"/>
              <w:bidi w:val="0"/>
              <w:spacing w:before="0" w:after="283"/>
              <w:jc w:val="left"/>
              <w:rPr/>
            </w:pPr>
            <w:r>
              <w:rPr/>
              <w:t> </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0"/>
              <w:ind w:left="0" w:right="0" w:hanging="0"/>
              <w:jc w:val="left"/>
              <w:rPr/>
            </w:pPr>
            <w:r>
              <w:rPr/>
              <w:t> </w:t>
            </w:r>
          </w:p>
        </w:tc>
        <w:tc>
          <w:tcPr>
            <w:tcW w:w="570" w:type="dxa"/>
            <w:tcBorders/>
            <w:shd w:fill="FFFFFF" w:val="clear"/>
            <w:tcMar>
              <w:bottom w:w="0" w:type="dxa"/>
            </w:tcMar>
            <w:vAlign w:val="center"/>
          </w:tcPr>
          <w:p>
            <w:pPr>
              <w:pStyle w:val="TableContents"/>
              <w:bidi w:val="0"/>
              <w:spacing w:before="0" w:after="0"/>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1,091</w:t>
            </w:r>
          </w:p>
        </w:tc>
        <w:tc>
          <w:tcPr>
            <w:tcW w:w="102" w:type="dxa"/>
            <w:tcBorders/>
            <w:shd w:fill="FFFFFF" w:val="clear"/>
            <w:tcMar>
              <w:bottom w:w="0" w:type="dxa"/>
            </w:tcMar>
            <w:vAlign w:val="center"/>
          </w:tcPr>
          <w:p>
            <w:pPr>
              <w:pStyle w:val="TableContents"/>
              <w:bidi w:val="0"/>
              <w:spacing w:before="0" w:after="283"/>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102" w:type="dxa"/>
            <w:tcBorders/>
            <w:shd w:fill="CCEEFF" w:val="clear"/>
            <w:tcMar>
              <w:bottom w:w="0" w:type="dxa"/>
            </w:tcMar>
            <w:vAlign w:val="center"/>
          </w:tcPr>
          <w:p>
            <w:pPr>
              <w:pStyle w:val="TableContents"/>
              <w:bidi w:val="0"/>
              <w:spacing w:before="0" w:after="283"/>
              <w:jc w:val="left"/>
              <w:rPr/>
            </w:pPr>
            <w:r>
              <w:rPr/>
              <w:t> </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and dividend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0"/>
              <w:ind w:left="0" w:right="0" w:hanging="0"/>
              <w:jc w:val="left"/>
              <w:rPr/>
            </w:pPr>
            <w:r>
              <w:rPr/>
              <w:t> </w:t>
            </w:r>
          </w:p>
        </w:tc>
        <w:tc>
          <w:tcPr>
            <w:tcW w:w="570" w:type="dxa"/>
            <w:tcBorders/>
            <w:shd w:fill="FFFFFF" w:val="clear"/>
            <w:tcMar>
              <w:bottom w:w="0" w:type="dxa"/>
            </w:tcMar>
            <w:vAlign w:val="center"/>
          </w:tcPr>
          <w:p>
            <w:pPr>
              <w:pStyle w:val="TableContents"/>
              <w:bidi w:val="0"/>
              <w:spacing w:before="0" w:after="0"/>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share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70"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0"/>
              <w:ind w:left="0" w:right="0" w:hanging="0"/>
              <w:jc w:val="left"/>
              <w:rPr/>
            </w:pPr>
            <w:r>
              <w:rPr/>
              <w:t> </w:t>
            </w:r>
          </w:p>
        </w:tc>
        <w:tc>
          <w:tcPr>
            <w:tcW w:w="570" w:type="dxa"/>
            <w:tcBorders/>
            <w:shd w:fill="CCEEFF" w:val="clear"/>
            <w:tcMar>
              <w:bottom w:w="0" w:type="dxa"/>
            </w:tcMar>
            <w:vAlign w:val="center"/>
          </w:tcPr>
          <w:p>
            <w:pPr>
              <w:pStyle w:val="TableContents"/>
              <w:bidi w:val="0"/>
              <w:spacing w:before="0" w:after="0"/>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0"/>
              <w:ind w:left="0" w:right="0" w:hanging="0"/>
              <w:jc w:val="left"/>
              <w:rPr/>
            </w:pPr>
            <w:r>
              <w:rPr/>
              <w:t> </w:t>
            </w:r>
          </w:p>
        </w:tc>
        <w:tc>
          <w:tcPr>
            <w:tcW w:w="570" w:type="dxa"/>
            <w:tcBorders/>
            <w:shd w:fill="FFFFFF" w:val="clear"/>
            <w:tcMar>
              <w:bottom w:w="0" w:type="dxa"/>
            </w:tcMar>
            <w:vAlign w:val="center"/>
          </w:tcPr>
          <w:p>
            <w:pPr>
              <w:pStyle w:val="TableContents"/>
              <w:bidi w:val="0"/>
              <w:spacing w:before="0" w:after="0"/>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withheld for employee taxes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05"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84"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2"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2,014</w:t>
            </w:r>
          </w:p>
        </w:tc>
        <w:tc>
          <w:tcPr>
            <w:tcW w:w="102" w:type="dxa"/>
            <w:tcBorders/>
            <w:shd w:fill="FFFFFF" w:val="clear"/>
            <w:tcMar>
              <w:bottom w:w="0" w:type="dxa"/>
            </w:tcMar>
            <w:vAlign w:val="center"/>
          </w:tcPr>
          <w:p>
            <w:pPr>
              <w:pStyle w:val="TableContents"/>
              <w:bidi w:val="0"/>
              <w:spacing w:before="0" w:after="283"/>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pPr>
            <w:r>
              <w:rPr/>
              <w:t>—</w:t>
            </w:r>
          </w:p>
        </w:tc>
        <w:tc>
          <w:tcPr>
            <w:tcW w:w="102" w:type="dxa"/>
            <w:tcBorders/>
            <w:shd w:fill="CCEEFF" w:val="clear"/>
            <w:tcMar>
              <w:bottom w:w="0" w:type="dxa"/>
            </w:tcMar>
            <w:vAlign w:val="center"/>
          </w:tcPr>
          <w:p>
            <w:pPr>
              <w:pStyle w:val="TableContents"/>
              <w:bidi w:val="0"/>
              <w:spacing w:before="0" w:after="283"/>
              <w:jc w:val="left"/>
              <w:rPr/>
            </w:pPr>
            <w:r>
              <w:rPr/>
              <w:t> </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70"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102" w:type="dxa"/>
            <w:tcBorders/>
            <w:shd w:fill="FFFFFF" w:val="clear"/>
            <w:tcMar>
              <w:bottom w:w="0" w:type="dxa"/>
            </w:tcMar>
            <w:vAlign w:val="center"/>
          </w:tcPr>
          <w:p>
            <w:pPr>
              <w:pStyle w:val="TableContents"/>
              <w:bidi w:val="0"/>
              <w:spacing w:before="0" w:after="283"/>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and dividend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share repurchases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70"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compensation</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05" w:type="dxa"/>
            <w:tcBorders>
              <w:bottom w:val="single" w:sz="2" w:space="0" w:color="000000"/>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84" w:type="dxa"/>
            <w:tcBorders>
              <w:bottom w:val="single" w:sz="2" w:space="0" w:color="000000"/>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48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2"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1,518</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(837</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1,983</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890"/>
        <w:gridCol w:w="60"/>
        <w:gridCol w:w="317"/>
        <w:gridCol w:w="492"/>
        <w:gridCol w:w="80"/>
        <w:gridCol w:w="60"/>
        <w:gridCol w:w="228"/>
        <w:gridCol w:w="884"/>
        <w:gridCol w:w="80"/>
        <w:gridCol w:w="60"/>
        <w:gridCol w:w="243"/>
        <w:gridCol w:w="641"/>
        <w:gridCol w:w="80"/>
        <w:gridCol w:w="60"/>
        <w:gridCol w:w="240"/>
        <w:gridCol w:w="569"/>
        <w:gridCol w:w="80"/>
        <w:gridCol w:w="60"/>
        <w:gridCol w:w="311"/>
        <w:gridCol w:w="1381"/>
        <w:gridCol w:w="80"/>
        <w:gridCol w:w="60"/>
        <w:gridCol w:w="483"/>
        <w:gridCol w:w="881"/>
        <w:gridCol w:w="80"/>
        <w:gridCol w:w="60"/>
        <w:gridCol w:w="132"/>
        <w:gridCol w:w="512"/>
        <w:gridCol w:w="101"/>
      </w:tblGrid>
      <w:tr>
        <w:trPr/>
        <w:tc>
          <w:tcPr>
            <w:tcW w:w="18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Common Stock</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Additional Paid-In Capital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Retained Earnings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Treasury Stock</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Accumulated Other Comprehensive Loss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Non-controlling Interests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Total Equity</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1,396</w:t>
            </w:r>
          </w:p>
        </w:tc>
        <w:tc>
          <w:tcPr>
            <w:tcW w:w="101" w:type="dxa"/>
            <w:tcBorders/>
            <w:shd w:fill="CCEEFF" w:val="clear"/>
            <w:tcMar>
              <w:bottom w:w="0" w:type="dxa"/>
            </w:tcMar>
            <w:vAlign w:val="center"/>
          </w:tcPr>
          <w:p>
            <w:pPr>
              <w:pStyle w:val="TableContents"/>
              <w:bidi w:val="0"/>
              <w:spacing w:before="0" w:after="283"/>
              <w:jc w:val="left"/>
              <w:rPr/>
            </w:pPr>
            <w:r>
              <w:rPr/>
              <w:t> </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ind w:left="0" w:right="0" w:hanging="0"/>
              <w:jc w:val="left"/>
              <w:rPr/>
            </w:pPr>
            <w:r>
              <w:rPr/>
              <w:t> </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5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01" w:type="dxa"/>
            <w:tcBorders/>
            <w:shd w:fill="FFFFFF" w:val="clear"/>
            <w:tcMar>
              <w:bottom w:w="0" w:type="dxa"/>
            </w:tcMar>
            <w:vAlign w:val="center"/>
          </w:tcPr>
          <w:p>
            <w:pPr>
              <w:pStyle w:val="TableContents"/>
              <w:bidi w:val="0"/>
              <w:spacing w:before="0" w:after="283"/>
              <w:jc w:val="left"/>
              <w:rPr/>
            </w:pPr>
            <w:r>
              <w:rPr/>
              <w:t> </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69"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101" w:type="dxa"/>
            <w:tcBorders/>
            <w:shd w:fill="CCEEFF" w:val="clear"/>
            <w:tcMar>
              <w:bottom w:w="0" w:type="dxa"/>
            </w:tcMar>
            <w:vAlign w:val="center"/>
          </w:tcPr>
          <w:p>
            <w:pPr>
              <w:pStyle w:val="TableContents"/>
              <w:bidi w:val="0"/>
              <w:spacing w:before="0" w:after="283"/>
              <w:jc w:val="left"/>
              <w:rPr/>
            </w:pPr>
            <w:r>
              <w:rPr/>
              <w:t> </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dividends and dividend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5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1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69"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ind w:left="0" w:right="0" w:hanging="0"/>
              <w:jc w:val="left"/>
              <w:rPr/>
            </w:pPr>
            <w:r>
              <w:rPr/>
              <w:t> </w:t>
            </w:r>
          </w:p>
        </w:tc>
        <w:tc>
          <w:tcPr>
            <w:tcW w:w="8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51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101"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withheld for employee taxes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4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1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1"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6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1,446</w:t>
            </w:r>
          </w:p>
        </w:tc>
        <w:tc>
          <w:tcPr>
            <w:tcW w:w="101" w:type="dxa"/>
            <w:tcBorders/>
            <w:shd w:fill="FFFFFF" w:val="clear"/>
            <w:tcMar>
              <w:bottom w:w="0" w:type="dxa"/>
            </w:tcMar>
            <w:vAlign w:val="center"/>
          </w:tcPr>
          <w:p>
            <w:pPr>
              <w:pStyle w:val="TableContents"/>
              <w:bidi w:val="0"/>
              <w:spacing w:before="0" w:after="283"/>
              <w:jc w:val="left"/>
              <w:rPr/>
            </w:pPr>
            <w:r>
              <w:rPr/>
              <w:t> </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69"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101" w:type="dxa"/>
            <w:tcBorders/>
            <w:shd w:fill="CCEEFF" w:val="clear"/>
            <w:tcMar>
              <w:bottom w:w="0" w:type="dxa"/>
            </w:tcMar>
            <w:vAlign w:val="center"/>
          </w:tcPr>
          <w:p>
            <w:pPr>
              <w:pStyle w:val="TableContents"/>
              <w:bidi w:val="0"/>
              <w:spacing w:before="0" w:after="283"/>
              <w:jc w:val="left"/>
              <w:rPr/>
            </w:pPr>
            <w:r>
              <w:rPr/>
              <w:t> </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w:t>
            </w:r>
          </w:p>
        </w:tc>
        <w:tc>
          <w:tcPr>
            <w:tcW w:w="101" w:type="dxa"/>
            <w:tcBorders/>
            <w:shd w:fill="FFFFFF" w:val="clear"/>
            <w:tcMar>
              <w:bottom w:w="0" w:type="dxa"/>
            </w:tcMar>
            <w:vAlign w:val="center"/>
          </w:tcPr>
          <w:p>
            <w:pPr>
              <w:pStyle w:val="TableContents"/>
              <w:bidi w:val="0"/>
              <w:spacing w:before="0" w:after="283"/>
              <w:jc w:val="left"/>
              <w:rPr/>
            </w:pPr>
            <w:r>
              <w:rPr/>
              <w:t> </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dividends and dividend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69"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1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1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569"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3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(259</w:t>
            </w:r>
          </w:p>
        </w:tc>
        <w:tc>
          <w:tcPr>
            <w:tcW w:w="1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noncontrolling interests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381"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1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8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compensation</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4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9"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1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1"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8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30,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9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1,270</w:t>
            </w:r>
          </w:p>
        </w:tc>
        <w:tc>
          <w:tcPr>
            <w:tcW w:w="101"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each component of accumulated other comprehensive loss (AOCI) of the parent</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7"/>
        <w:gridCol w:w="60"/>
        <w:gridCol w:w="393"/>
        <w:gridCol w:w="1246"/>
        <w:gridCol w:w="80"/>
        <w:gridCol w:w="60"/>
        <w:gridCol w:w="218"/>
        <w:gridCol w:w="507"/>
        <w:gridCol w:w="80"/>
        <w:gridCol w:w="60"/>
        <w:gridCol w:w="277"/>
        <w:gridCol w:w="883"/>
        <w:gridCol w:w="80"/>
        <w:gridCol w:w="60"/>
        <w:gridCol w:w="401"/>
        <w:gridCol w:w="1759"/>
        <w:gridCol w:w="84"/>
      </w:tblGrid>
      <w:tr>
        <w:trPr/>
        <w:tc>
          <w:tcPr>
            <w:tcW w:w="3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Parent Company Stockholders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Foreign Currency Translation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Hedging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Defined Benefit Plans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 Other Comprehensive Loss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hanging="0"/>
              <w:jc w:val="left"/>
              <w:rPr/>
            </w:pPr>
            <w:r>
              <w:rPr/>
              <w:t> </w:t>
            </w:r>
          </w:p>
        </w:tc>
        <w:tc>
          <w:tcPr>
            <w:tcW w:w="12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4" w:type="dxa"/>
            <w:tcBorders/>
            <w:shd w:fill="FFFFFF" w:val="cle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 realized in Off-Highway business divestiture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84" w:type="dxa"/>
            <w:tcBorders/>
            <w:shd w:fill="CCEEFF" w:val="clear"/>
            <w:vAlign w:val="center"/>
          </w:tcPr>
          <w:p>
            <w:pPr>
              <w:pStyle w:val="TableContents"/>
              <w:bidi w:val="0"/>
              <w:spacing w:before="0" w:after="283"/>
              <w:jc w:val="left"/>
              <w:rPr/>
            </w:pPr>
            <w:r>
              <w:rPr/>
              <w:t> </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Holding gains and losses</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4" w:type="dxa"/>
            <w:tcBorders/>
            <w:shd w:fill="FFFFFF" w:val="cle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amount to net income (a)</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Reclassification adjustment for net actuarial losses included in net periodic benefit cost (b)</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benefit</w:t>
            </w:r>
          </w:p>
        </w:tc>
        <w:tc>
          <w:tcPr>
            <w:tcW w:w="60" w:type="dxa"/>
            <w:tcBorders/>
            <w:shd w:fill="CCEE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(856</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84" w:type="dxa"/>
            <w:tcBorders/>
            <w:shd w:fill="FFFFFF" w:val="cle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Holding gains and losses</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4" w:type="dxa"/>
            <w:tcBorders/>
            <w:shd w:fill="CCEEFF" w:val="clear"/>
            <w:vAlign w:val="center"/>
          </w:tcPr>
          <w:p>
            <w:pPr>
              <w:pStyle w:val="TableContents"/>
              <w:bidi w:val="0"/>
              <w:spacing w:before="0" w:after="283"/>
              <w:jc w:val="left"/>
              <w:rPr/>
            </w:pPr>
            <w:r>
              <w:rPr/>
              <w:t> </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amount to net income (a)</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84"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7"/>
        <w:gridCol w:w="60"/>
        <w:gridCol w:w="393"/>
        <w:gridCol w:w="1246"/>
        <w:gridCol w:w="80"/>
        <w:gridCol w:w="60"/>
        <w:gridCol w:w="218"/>
        <w:gridCol w:w="507"/>
        <w:gridCol w:w="80"/>
        <w:gridCol w:w="60"/>
        <w:gridCol w:w="277"/>
        <w:gridCol w:w="883"/>
        <w:gridCol w:w="80"/>
        <w:gridCol w:w="60"/>
        <w:gridCol w:w="401"/>
        <w:gridCol w:w="1759"/>
        <w:gridCol w:w="84"/>
      </w:tblGrid>
      <w:tr>
        <w:trPr/>
        <w:tc>
          <w:tcPr>
            <w:tcW w:w="3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Parent Company Stockholders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Foreign Currency Translation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Hedging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Defined Benefit Plans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 Other Comprehensive Loss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hanging="0"/>
              <w:jc w:val="left"/>
              <w:rPr/>
            </w:pPr>
            <w:r>
              <w:rPr/>
              <w:t> </w:t>
            </w:r>
          </w:p>
        </w:tc>
        <w:tc>
          <w:tcPr>
            <w:tcW w:w="12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4" w:type="dxa"/>
            <w:tcBorders/>
            <w:shd w:fill="FFFFFF" w:val="cle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Holding gains and losses</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ind w:left="0" w:right="0" w:hanging="0"/>
              <w:jc w:val="left"/>
              <w:rPr/>
            </w:pPr>
            <w:r>
              <w:rPr/>
              <w:t> </w:t>
            </w:r>
          </w:p>
        </w:tc>
        <w:tc>
          <w:tcPr>
            <w:tcW w:w="1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of amount to net income (a)</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(1,110</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c>
          <w:tcPr>
            <w:tcW w:w="84" w:type="dxa"/>
            <w:tcBorders/>
            <w:shd w:fill="FFFFFF" w:val="cle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of amount to net income (a)</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adjustment for net actuarial losses included in net periodic benefit cost (b)</w:t>
            </w:r>
          </w:p>
        </w:tc>
        <w:tc>
          <w:tcPr>
            <w:tcW w:w="60" w:type="dxa"/>
            <w:tcBorders/>
            <w:shd w:fill="FFFFFF" w:val="clear"/>
            <w:vAlign w:val="center"/>
          </w:tcPr>
          <w:p>
            <w:pPr>
              <w:pStyle w:val="TableContents"/>
              <w:bidi w:val="0"/>
              <w:spacing w:before="0" w:after="0"/>
              <w:ind w:left="0" w:right="0" w:hanging="0"/>
              <w:jc w:val="left"/>
              <w:rPr/>
            </w:pPr>
            <w:r>
              <w:rPr/>
              <w:t> </w:t>
            </w:r>
          </w:p>
        </w:tc>
        <w:tc>
          <w:tcPr>
            <w:tcW w:w="393" w:type="dxa"/>
            <w:tcBorders/>
            <w:shd w:fill="FFFFFF" w:val="clear"/>
            <w:vAlign w:val="center"/>
          </w:tcPr>
          <w:p>
            <w:pPr>
              <w:pStyle w:val="TableContents"/>
              <w:bidi w:val="0"/>
              <w:spacing w:before="0" w:after="0"/>
              <w:ind w:left="0" w:right="0" w:hanging="0"/>
              <w:jc w:val="left"/>
              <w:rPr/>
            </w:pPr>
            <w:r>
              <w:rPr/>
              <w:t> </w:t>
            </w:r>
          </w:p>
        </w:tc>
        <w:tc>
          <w:tcPr>
            <w:tcW w:w="1246" w:type="dxa"/>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507" w:type="dxa"/>
            <w:tcBorders/>
            <w:shd w:fill="FFFFFF" w:val="clear"/>
            <w:vAlign w:val="center"/>
          </w:tcPr>
          <w:p>
            <w:pPr>
              <w:pStyle w:val="TableContents"/>
              <w:bidi w:val="0"/>
              <w:spacing w:before="0" w:after="0"/>
              <w:ind w:left="0" w:right="0" w:hanging="0"/>
              <w:jc w:val="righ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7"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1" w:type="dxa"/>
            <w:tcBorders/>
            <w:shd w:fill="FFFFFF" w:val="clear"/>
            <w:vAlign w:val="center"/>
          </w:tcPr>
          <w:p>
            <w:pPr>
              <w:pStyle w:val="TableContents"/>
              <w:bidi w:val="0"/>
              <w:spacing w:before="0" w:after="0"/>
              <w:ind w:left="0" w:right="0" w:hanging="0"/>
              <w:jc w:val="left"/>
              <w:rPr/>
            </w:pPr>
            <w:r>
              <w:rPr/>
              <w:t> </w:t>
            </w:r>
          </w:p>
        </w:tc>
        <w:tc>
          <w:tcPr>
            <w:tcW w:w="17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shd w:fill="FFFFFF" w:val="clear"/>
            <w:vAlign w:val="center"/>
          </w:tcPr>
          <w:p>
            <w:pPr>
              <w:pStyle w:val="TableContents"/>
              <w:bidi w:val="0"/>
              <w:spacing w:before="0" w:after="0"/>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39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2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50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pPr>
            <w:r>
              <w:rPr>
                <w:rStyle w:val="Emphasis"/>
              </w:rPr>
              <w:t>—</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75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60"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80" w:right="0" w:hanging="180"/>
        <w:jc w:val="left"/>
        <w:rPr/>
      </w:pPr>
      <w:r>
        <w:rPr>
          <w:rFonts w:ascii="Times New Roman" w:hAnsi="Times New Roman"/>
          <w:sz w:val="18"/>
        </w:rPr>
        <w:t xml:space="preserve">(a) Realized gains and losses from currency-related forward contracts associated with forecasted transactions or from other derivative instruments treated as cash flow hedges are reclassified from AOCI into the same line item in the consolidated statement of operations in which the underlying forecasted transaction or other hedged item is recorded. See Note </w:t>
      </w:r>
      <w:r>
        <w:rPr>
          <w:rStyle w:val="Emphasis"/>
          <w:rFonts w:ascii="Times New Roman" w:hAnsi="Times New Roman"/>
          <w:sz w:val="18"/>
        </w:rPr>
        <w:t>11</w:t>
      </w:r>
      <w:r>
        <w:rPr>
          <w:rFonts w:ascii="Times New Roman" w:hAnsi="Times New Roman"/>
          <w:sz w:val="18"/>
        </w:rPr>
        <w:t> for additional details.</w:t>
      </w:r>
    </w:p>
    <w:p>
      <w:pPr>
        <w:pStyle w:val="TextBody"/>
        <w:bidi w:val="0"/>
        <w:spacing w:before="0" w:after="0"/>
        <w:ind w:left="180" w:right="0" w:hanging="180"/>
        <w:jc w:val="left"/>
        <w:rPr/>
      </w:pPr>
      <w:r>
        <w:rPr/>
        <w:t> </w:t>
      </w:r>
    </w:p>
    <w:p>
      <w:pPr>
        <w:pStyle w:val="TextBody"/>
        <w:bidi w:val="0"/>
        <w:spacing w:before="0" w:after="0"/>
        <w:ind w:left="180" w:right="0" w:hanging="180"/>
        <w:jc w:val="left"/>
        <w:rPr/>
      </w:pPr>
      <w:r>
        <w:rPr>
          <w:rFonts w:ascii="Times New Roman" w:hAnsi="Times New Roman"/>
          <w:sz w:val="18"/>
        </w:rPr>
        <w:t xml:space="preserve">(b) See Note </w:t>
      </w:r>
      <w:r>
        <w:rPr>
          <w:rStyle w:val="Emphasis"/>
          <w:rFonts w:ascii="Times New Roman" w:hAnsi="Times New Roman"/>
          <w:sz w:val="18"/>
        </w:rPr>
        <w:t>9</w:t>
      </w:r>
      <w:r>
        <w:rPr>
          <w:rFonts w:ascii="Times New Roman" w:hAnsi="Times New Roman"/>
          <w:sz w:val="18"/>
        </w:rPr>
        <w:t xml:space="preserve"> for additional details.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4" w:name="fn8"/>
      <w:bookmarkEnd w:id="14"/>
      <w:r>
        <w:rPr>
          <w:rFonts w:ascii="Times New Roman;Times;serif" w:hAnsi="Times New Roman;Times;serif"/>
          <w:b/>
          <w:sz w:val="20"/>
        </w:rPr>
        <w:t xml:space="preserve">Note </w:t>
      </w:r>
      <w:r>
        <w:rPr>
          <w:rStyle w:val="Emphasis"/>
          <w:rFonts w:ascii="Times New Roman;Times;serif" w:hAnsi="Times New Roman;Times;serif"/>
          <w:b/>
          <w:sz w:val="20"/>
        </w:rPr>
        <w:t>7.</w:t>
      </w:r>
      <w:r>
        <w:rPr>
          <w:rFonts w:ascii="Times New Roman;Times;serif" w:hAnsi="Times New Roman;Times;serif"/>
          <w:b/>
          <w:sz w:val="20"/>
        </w:rPr>
        <w:t xml:space="preserve"> Earnings per Share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the numerators and denominators of the earnings per share calculations</w:t>
      </w:r>
      <w:r>
        <w:rPr>
          <w:rFonts w:ascii="Times New Roman;Times;serif" w:hAnsi="Times New Roman;Times;serif"/>
          <w:sz w:val="20"/>
        </w:rPr>
        <w:t xml:space="preserve"> — </w:t>
      </w:r>
    </w:p>
    <w:p>
      <w:pPr>
        <w:pStyle w:val="TextBody"/>
        <w:bidi w:val="0"/>
        <w:spacing w:before="0" w:after="0"/>
        <w:ind w:left="0" w:right="0" w:hanging="0"/>
        <w:jc w:val="left"/>
        <w:rPr/>
      </w:pPr>
      <w:r>
        <w:rPr/>
        <w:t> </w:t>
      </w:r>
    </w:p>
    <w:tbl>
      <w:tblPr>
        <w:tblW w:w="10038" w:type="dxa"/>
        <w:jc w:val="left"/>
        <w:tblInd w:w="0" w:type="dxa"/>
        <w:tblLayout w:type="fixed"/>
        <w:tblCellMar>
          <w:top w:w="0" w:type="dxa"/>
          <w:left w:w="0" w:type="dxa"/>
          <w:bottom w:w="0" w:type="dxa"/>
          <w:right w:w="0" w:type="dxa"/>
        </w:tblCellMar>
      </w:tblPr>
      <w:tblGrid>
        <w:gridCol w:w="6545"/>
        <w:gridCol w:w="60"/>
        <w:gridCol w:w="157"/>
        <w:gridCol w:w="611"/>
        <w:gridCol w:w="100"/>
        <w:gridCol w:w="75"/>
        <w:gridCol w:w="157"/>
        <w:gridCol w:w="611"/>
        <w:gridCol w:w="80"/>
        <w:gridCol w:w="60"/>
        <w:gridCol w:w="138"/>
        <w:gridCol w:w="536"/>
        <w:gridCol w:w="88"/>
        <w:gridCol w:w="66"/>
        <w:gridCol w:w="138"/>
        <w:gridCol w:w="536"/>
        <w:gridCol w:w="80"/>
      </w:tblGrid>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 attributable to the parent company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compensation-related shares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share count for diluted earnings per share is computed on the basis of the weighted-average number of common shares outstanding plus the effects of dilutive common stock equivalents (CSEs) outstanding during the period. We excluded 0.3 million CSEs from the calculation of diluted earnings per share for both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and excluded and 0.2 million of CSEs for both the respective year-to-date periods as the effect of including them would have been anti-dilutive. In addition, we excluded CSEs that satisfied the definition of potentially dilutive shares of 1.7 million for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2025</w:t>
      </w:r>
      <w:r>
        <w:rPr>
          <w:rFonts w:ascii="Times New Roman;Times;serif" w:hAnsi="Times New Roman;Times;serif"/>
          <w:sz w:val="20"/>
        </w:rPr>
        <w:t xml:space="preserve"> and excluded 1.3 million and 1.5 million for the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year-to-date periods as a result of the loss from continuing operations for these periods.</w:t>
      </w:r>
    </w:p>
    <w:p>
      <w:pPr>
        <w:pStyle w:val="TextBody"/>
        <w:bidi w:val="0"/>
        <w:spacing w:before="0" w:after="0"/>
        <w:ind w:left="0" w:right="0" w:firstLine="36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5" w:name="fn9"/>
      <w:bookmarkEnd w:id="15"/>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xml:space="preserve"> Stock Compensation</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The Compensation Committee of our Board of Directors approved the grant of RSUs, performance share units (PSUs) and Dana Transformation Awards shown in the table below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w:t>
      </w:r>
    </w:p>
    <w:p>
      <w:pPr>
        <w:pStyle w:val="TextBody"/>
        <w:bidi w:val="0"/>
        <w:spacing w:before="0" w:after="0"/>
        <w:ind w:left="0" w:right="0" w:hanging="0"/>
        <w:jc w:val="left"/>
        <w:rPr/>
      </w:pPr>
      <w:r>
        <w:rPr/>
        <w:t> </w:t>
      </w:r>
    </w:p>
    <w:tbl>
      <w:tblPr>
        <w:tblW w:w="4633" w:type="dxa"/>
        <w:jc w:val="left"/>
        <w:tblInd w:w="0" w:type="dxa"/>
        <w:tblLayout w:type="fixed"/>
        <w:tblCellMar>
          <w:top w:w="0" w:type="dxa"/>
          <w:left w:w="0" w:type="dxa"/>
          <w:bottom w:w="0" w:type="dxa"/>
          <w:right w:w="0" w:type="dxa"/>
        </w:tblCellMar>
      </w:tblPr>
      <w:tblGrid>
        <w:gridCol w:w="2375"/>
        <w:gridCol w:w="60"/>
        <w:gridCol w:w="180"/>
        <w:gridCol w:w="829"/>
        <w:gridCol w:w="60"/>
        <w:gridCol w:w="60"/>
        <w:gridCol w:w="206"/>
        <w:gridCol w:w="803"/>
        <w:gridCol w:w="60"/>
      </w:tblGrid>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6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Dana Transformation Awards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18"/>
        </w:rPr>
      </w:pPr>
      <w:r>
        <w:rPr>
          <w:rFonts w:ascii="Times New Roman" w:hAnsi="Times New Roman"/>
          <w:sz w:val="18"/>
        </w:rPr>
        <w:t>* Weighted-average per share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Compensation expense is generally measured based on the fair value at the date of grant and is recognized on a straight-line basis over the vesting period. Awards that are settled in cash are subject to liability accounting. Accordingly, the fair value of such awards is remeasured at the end of each reporting period until settled or expired. RSUs, PSUs and the Dana Transformation Awards accrue dividends, which are subject to the same vesting and forfeiture conditions as the original award. The fair value of RSUs is based on the closing market price of our common stock at the date of grant.</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number of PSUs granted in </w:t>
      </w:r>
      <w:r>
        <w:rPr>
          <w:rStyle w:val="Emphasis"/>
          <w:rFonts w:ascii="Times New Roman;Times;serif" w:hAnsi="Times New Roman;Times;serif"/>
          <w:sz w:val="20"/>
        </w:rPr>
        <w:t>2026</w:t>
      </w:r>
      <w:r>
        <w:rPr>
          <w:rFonts w:ascii="Times New Roman;Times;serif" w:hAnsi="Times New Roman;Times;serif"/>
          <w:sz w:val="20"/>
        </w:rPr>
        <w:t xml:space="preserve"> that ultimately vest is contingent upon achieving predetermined financial performance targets. The payout is further subject to a relative total shareholder return (“TSR”) modifier which is based on specified total shareholder return targets relative to peer companies. We estimated the grant date fair value of the PSUs using various assumptions as part of a Monte Carlo simulation. The risk-free interest rate of 3.56% was based on U.S. Treasury rate as of the grant date. The estimated volatility of 44.0% was based on the historical volatility of daily stock returns for a 2.9-year period preceding the grant date.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also granted a special award tied to stock price performance (the Dana Transformation Awards). The payout is contingent upon the achievement of specified average stock price performance goals, measured over any 20 consecutive trading-days throughout a 4-year performance period. We estimated the grant date fair value of the Dana Transformation Awards using various assumptions as part of a Monte Carlo simulation. The risk-free interest rates of 3.64% and 3.66% were based on U.S. Treasury rates as of the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grant dates. The estimated volatility of 48.29% and 47.11% were based on the historical volatility of daily stock returns for a 4-year period preceding each respective grant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paid $1.0 and $1.8 of cash to settle RSUs and PSUs and issued 0.7 and 0.8 million shares of common stock based on the vesting of RSUs and PSUs, respectively. We recognized stock compensation expense of $8 and $10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expense of $19 and $23 during the respective year-to-date periods.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total unrecognized compensation cost related to the nonvested awards granted and expected to vest was $64. This cost is expected to be recognized over a weighted-average period of 3.0 years. The breakout of the unrecognized compensation cost for the RSUs, PSUs, and Dana Transformation Awards is $18, $7, and $39, respectively. The weighted-average period in years for the RSUs, PSUs, and Dana Transformation Awards is 1.7, 1.3, and 4.0 years, respectively.</w:t>
      </w:r>
    </w:p>
    <w:p>
      <w:pPr>
        <w:pStyle w:val="TextBody"/>
        <w:bidi w:val="0"/>
        <w:spacing w:before="0" w:after="283"/>
        <w:jc w:val="left"/>
        <w:rPr/>
      </w:pPr>
      <w:r>
        <w:rPr/>
        <w:t xml:space="preserve">  </w:t>
      </w:r>
    </w:p>
    <w:p>
      <w:pPr>
        <w:pStyle w:val="TextBody"/>
        <w:bidi w:val="0"/>
        <w:spacing w:before="0" w:after="0"/>
        <w:ind w:left="0" w:right="0" w:hanging="0"/>
        <w:jc w:val="left"/>
        <w:rPr/>
      </w:pPr>
      <w:bookmarkStart w:id="16" w:name="fn10"/>
      <w:bookmarkEnd w:id="16"/>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xml:space="preserve"> Pension and Postretirement Benefit Plans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 number of defined contribution and defined benefit, qualified and nonqualified, pension plans covering eligible employees. Other postretirement benefits (OPEB), including medical and life insurance, are provided for certain employees upon retirement.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net periodic benefit cost</w:t>
      </w:r>
      <w:r>
        <w:rPr>
          <w:rFonts w:ascii="Times New Roman;Times;serif" w:hAnsi="Times New Roman;Times;serif"/>
          <w:sz w:val="20"/>
        </w:rPr>
        <w:t> — </w:t>
      </w:r>
    </w:p>
    <w:p>
      <w:pPr>
        <w:pStyle w:val="TextBody"/>
        <w:bidi w:val="0"/>
        <w:spacing w:before="0" w:after="0"/>
        <w:ind w:left="0" w:right="0" w:hanging="0"/>
        <w:jc w:val="left"/>
        <w:rPr/>
      </w:pPr>
      <w:r>
        <w:rPr/>
        <w:t> </w:t>
      </w:r>
    </w:p>
    <w:tbl>
      <w:tblPr>
        <w:tblW w:w="7935" w:type="dxa"/>
        <w:jc w:val="left"/>
        <w:tblInd w:w="0" w:type="dxa"/>
        <w:tblLayout w:type="fixed"/>
        <w:tblCellMar>
          <w:top w:w="0" w:type="dxa"/>
          <w:left w:w="0" w:type="dxa"/>
          <w:bottom w:w="0" w:type="dxa"/>
          <w:right w:w="0" w:type="dxa"/>
        </w:tblCellMar>
      </w:tblPr>
      <w:tblGrid>
        <w:gridCol w:w="3245"/>
        <w:gridCol w:w="60"/>
        <w:gridCol w:w="125"/>
        <w:gridCol w:w="290"/>
        <w:gridCol w:w="80"/>
        <w:gridCol w:w="60"/>
        <w:gridCol w:w="304"/>
        <w:gridCol w:w="451"/>
        <w:gridCol w:w="80"/>
        <w:gridCol w:w="60"/>
        <w:gridCol w:w="125"/>
        <w:gridCol w:w="290"/>
        <w:gridCol w:w="80"/>
        <w:gridCol w:w="60"/>
        <w:gridCol w:w="304"/>
        <w:gridCol w:w="451"/>
        <w:gridCol w:w="80"/>
        <w:gridCol w:w="60"/>
        <w:gridCol w:w="243"/>
        <w:gridCol w:w="512"/>
        <w:gridCol w:w="80"/>
        <w:gridCol w:w="60"/>
        <w:gridCol w:w="243"/>
        <w:gridCol w:w="512"/>
        <w:gridCol w:w="8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Pension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OPEB</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net actuarial loss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periodic benefit cost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Six Months Ended June 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return on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net actuarial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periodic benefit cost (credit)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0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pPr>
            <w:r>
              <w:rPr/>
              <w:t>—</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service cost components of net periodic pension and OPEB costs are included in cost of sales and selling, general and administrative expenses as part of compensation cost and are eligible for capitalization in inventory and other assets. The non-service components are reported in other income (expense), net and are </w:t>
      </w:r>
      <w:r>
        <w:rPr>
          <w:rStyle w:val="Emphasis"/>
          <w:rFonts w:ascii="Times New Roman;Times;serif" w:hAnsi="Times New Roman;Times;serif"/>
          <w:sz w:val="20"/>
        </w:rPr>
        <w:t>not</w:t>
      </w:r>
      <w:r>
        <w:rPr>
          <w:rFonts w:ascii="Times New Roman;Times;serif" w:hAnsi="Times New Roman;Times;serif"/>
          <w:sz w:val="20"/>
        </w:rPr>
        <w:t xml:space="preserve"> eligible for capitalization.</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fn11"/>
      <w:bookmarkEnd w:id="17"/>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xml:space="preserve"> Financing Agreements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Long-term debt at </w:t>
      </w:r>
      <w:r>
        <w:rPr>
          <w:rFonts w:ascii="Times New Roman;Times;serif" w:hAnsi="Times New Roman;Times;serif"/>
          <w:sz w:val="20"/>
        </w:rPr>
        <w:t>—</w:t>
      </w:r>
    </w:p>
    <w:p>
      <w:pPr>
        <w:pStyle w:val="TextBody"/>
        <w:bidi w:val="0"/>
        <w:spacing w:before="0" w:after="0"/>
        <w:ind w:left="0" w:right="0" w:hanging="0"/>
        <w:jc w:val="left"/>
        <w:rPr/>
      </w:pPr>
      <w:r>
        <w:rPr/>
        <w:t> </w:t>
      </w:r>
    </w:p>
    <w:tbl>
      <w:tblPr>
        <w:tblW w:w="7607" w:type="dxa"/>
        <w:jc w:val="left"/>
        <w:tblInd w:w="0" w:type="dxa"/>
        <w:tblLayout w:type="fixed"/>
        <w:tblCellMar>
          <w:top w:w="0" w:type="dxa"/>
          <w:left w:w="0" w:type="dxa"/>
          <w:bottom w:w="0" w:type="dxa"/>
          <w:right w:w="0" w:type="dxa"/>
        </w:tblCellMar>
      </w:tblPr>
      <w:tblGrid>
        <w:gridCol w:w="3260"/>
        <w:gridCol w:w="60"/>
        <w:gridCol w:w="114"/>
        <w:gridCol w:w="940"/>
        <w:gridCol w:w="185"/>
        <w:gridCol w:w="60"/>
        <w:gridCol w:w="240"/>
        <w:gridCol w:w="934"/>
        <w:gridCol w:w="80"/>
        <w:gridCol w:w="60"/>
        <w:gridCol w:w="326"/>
        <w:gridCol w:w="1268"/>
        <w:gridCol w:w="8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November 15, 2027</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June 15, 2028</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Euro Notes due July 15, 2029</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September 1, 2030</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Euro Notes due July 15, 2031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February 15, 2032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indebtedness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debt issuance costs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Interest on the senior notes is payable semi-annually. Other indebtedness includes borrowings from various financial institutions and finance lease obligations.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Senior notes activity </w:t>
      </w:r>
      <w:r>
        <w:rPr>
          <w:rFonts w:ascii="Times New Roman;Times;serif" w:hAnsi="Times New Roman;Times;serif"/>
          <w:sz w:val="20"/>
        </w:rPr>
        <w:t xml:space="preserve">— On </w:t>
      </w:r>
      <w:r>
        <w:rPr>
          <w:rStyle w:val="Emphasis"/>
          <w:rFonts w:ascii="Times New Roman;Times;serif" w:hAnsi="Times New Roman;Times;serif"/>
          <w:sz w:val="20"/>
        </w:rPr>
        <w:t xml:space="preserve">April 15, 2025, </w:t>
      </w:r>
      <w:r>
        <w:rPr>
          <w:rFonts w:ascii="Times New Roman;Times;serif" w:hAnsi="Times New Roman;Times;serif"/>
          <w:sz w:val="20"/>
        </w:rPr>
        <w:t xml:space="preserve">Dana retired its remaining </w:t>
      </w:r>
      <w:r>
        <w:rPr>
          <w:rStyle w:val="Emphasis"/>
          <w:rFonts w:ascii="Times New Roman;Times;serif" w:hAnsi="Times New Roman;Times;serif"/>
          <w:sz w:val="20"/>
        </w:rPr>
        <w:t xml:space="preserve">April 2025 </w:t>
      </w:r>
      <w:r>
        <w:rPr>
          <w:rFonts w:ascii="Times New Roman;Times;serif" w:hAnsi="Times New Roman;Times;serif"/>
          <w:sz w:val="20"/>
        </w:rPr>
        <w:t xml:space="preserve">Notes. On </w:t>
      </w:r>
      <w:r>
        <w:rPr>
          <w:rStyle w:val="Emphasis"/>
          <w:rFonts w:ascii="Times New Roman;Times;serif" w:hAnsi="Times New Roman;Times;serif"/>
          <w:sz w:val="20"/>
        </w:rPr>
        <w:t xml:space="preserve">December 4, 2025, </w:t>
      </w:r>
      <w:r>
        <w:rPr>
          <w:rFonts w:ascii="Times New Roman;Times;serif" w:hAnsi="Times New Roman;Times;serif"/>
          <w:sz w:val="20"/>
        </w:rPr>
        <w:t>we offered as part of a net proceeds tender offer to purchase at a price equal to 100.00% plus accrued and unpaid interest up to $173 of our </w:t>
      </w:r>
      <w:r>
        <w:rPr>
          <w:rStyle w:val="Emphasis"/>
          <w:rFonts w:ascii="Times New Roman;Times;serif" w:hAnsi="Times New Roman;Times;serif"/>
          <w:sz w:val="20"/>
        </w:rPr>
        <w:t xml:space="preserve"> November 2027 </w:t>
      </w:r>
      <w:r>
        <w:rPr>
          <w:rFonts w:ascii="Times New Roman;Times;serif" w:hAnsi="Times New Roman;Times;serif"/>
          <w:sz w:val="20"/>
        </w:rPr>
        <w:t xml:space="preserve">Notes, up to $173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up to €141 of our </w:t>
      </w:r>
      <w:r>
        <w:rPr>
          <w:rStyle w:val="Emphasis"/>
          <w:rFonts w:ascii="Times New Roman;Times;serif" w:hAnsi="Times New Roman;Times;serif"/>
          <w:sz w:val="20"/>
        </w:rPr>
        <w:t xml:space="preserve">July 2029 </w:t>
      </w:r>
      <w:r>
        <w:rPr>
          <w:rFonts w:ascii="Times New Roman;Times;serif" w:hAnsi="Times New Roman;Times;serif"/>
          <w:sz w:val="20"/>
        </w:rPr>
        <w:t xml:space="preserve">Notes, up to $173 of our </w:t>
      </w:r>
      <w:r>
        <w:rPr>
          <w:rStyle w:val="Emphasis"/>
          <w:rFonts w:ascii="Times New Roman;Times;serif" w:hAnsi="Times New Roman;Times;serif"/>
          <w:sz w:val="20"/>
        </w:rPr>
        <w:t xml:space="preserve">September 2030 </w:t>
      </w:r>
      <w:r>
        <w:rPr>
          <w:rFonts w:ascii="Times New Roman;Times;serif" w:hAnsi="Times New Roman;Times;serif"/>
          <w:sz w:val="20"/>
        </w:rPr>
        <w:t xml:space="preserve">Notes, up to €184 of our </w:t>
      </w:r>
      <w:r>
        <w:rPr>
          <w:rStyle w:val="Emphasis"/>
          <w:rFonts w:ascii="Times New Roman;Times;serif" w:hAnsi="Times New Roman;Times;serif"/>
          <w:sz w:val="20"/>
        </w:rPr>
        <w:t xml:space="preserve">July 2031 </w:t>
      </w:r>
      <w:r>
        <w:rPr>
          <w:rFonts w:ascii="Times New Roman;Times;serif" w:hAnsi="Times New Roman;Times;serif"/>
          <w:sz w:val="20"/>
        </w:rPr>
        <w:t xml:space="preserve">Notes and up to $152 of our </w:t>
      </w:r>
      <w:r>
        <w:rPr>
          <w:rStyle w:val="Emphasis"/>
          <w:rFonts w:ascii="Times New Roman;Times;serif" w:hAnsi="Times New Roman;Times;serif"/>
          <w:sz w:val="20"/>
        </w:rPr>
        <w:t xml:space="preserve">February 2032 </w:t>
      </w:r>
      <w:r>
        <w:rPr>
          <w:rFonts w:ascii="Times New Roman;Times;serif" w:hAnsi="Times New Roman;Times;serif"/>
          <w:sz w:val="20"/>
        </w:rPr>
        <w:t xml:space="preserve">Notes. The offers were conditioned on Dana receiving proceeds from the sale of its Off-Highway business and other customary conditions. In addition, on </w:t>
      </w:r>
      <w:r>
        <w:rPr>
          <w:rStyle w:val="Emphasis"/>
          <w:rFonts w:ascii="Times New Roman;Times;serif" w:hAnsi="Times New Roman;Times;serif"/>
          <w:sz w:val="20"/>
        </w:rPr>
        <w:t xml:space="preserve">December 4, 2025, </w:t>
      </w:r>
      <w:r>
        <w:rPr>
          <w:rFonts w:ascii="Times New Roman;Times;serif" w:hAnsi="Times New Roman;Times;serif"/>
          <w:sz w:val="20"/>
        </w:rPr>
        <w:t xml:space="preserve">we issued notices of conditional full redemption with a redemption date of </w:t>
      </w:r>
      <w:r>
        <w:rPr>
          <w:rStyle w:val="Emphasis"/>
          <w:rFonts w:ascii="Times New Roman;Times;serif" w:hAnsi="Times New Roman;Times;serif"/>
          <w:sz w:val="20"/>
        </w:rPr>
        <w:t xml:space="preserve">January 8, 2026 </w:t>
      </w:r>
      <w:r>
        <w:rPr>
          <w:rFonts w:ascii="Times New Roman;Times;serif" w:hAnsi="Times New Roman;Times;serif"/>
          <w:sz w:val="20"/>
        </w:rPr>
        <w:t xml:space="preserve">for all of our outstanding </w:t>
      </w:r>
      <w:r>
        <w:rPr>
          <w:rStyle w:val="Emphasis"/>
          <w:rFonts w:ascii="Times New Roman;Times;serif" w:hAnsi="Times New Roman;Times;serif"/>
          <w:sz w:val="20"/>
        </w:rPr>
        <w:t>November 2027 </w:t>
      </w:r>
      <w:r>
        <w:rPr>
          <w:rFonts w:ascii="Times New Roman;Times;serif" w:hAnsi="Times New Roman;Times;serif"/>
          <w:sz w:val="20"/>
        </w:rPr>
        <w:t xml:space="preserve">Notes and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at a redemption price equal to 100.00% plus accrued and unpaid interest. The redemptions were conditioned on Dana receiving proceeds from the sales of its Off-Highway business. 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Dana completed the sale of its Off-Highway business.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 On </w:t>
      </w:r>
      <w:r>
        <w:rPr>
          <w:rStyle w:val="Emphasis"/>
          <w:rFonts w:ascii="Times New Roman;Times;serif" w:hAnsi="Times New Roman;Times;serif"/>
          <w:sz w:val="20"/>
        </w:rPr>
        <w:t xml:space="preserve">January 7, 2026, </w:t>
      </w:r>
      <w:r>
        <w:rPr>
          <w:rFonts w:ascii="Times New Roman;Times;serif" w:hAnsi="Times New Roman;Times;serif"/>
          <w:sz w:val="20"/>
        </w:rPr>
        <w:t>we purchased $138 of our </w:t>
      </w:r>
      <w:r>
        <w:rPr>
          <w:rStyle w:val="Emphasis"/>
          <w:rFonts w:ascii="Times New Roman;Times;serif" w:hAnsi="Times New Roman;Times;serif"/>
          <w:sz w:val="20"/>
        </w:rPr>
        <w:t xml:space="preserve"> November 2027 </w:t>
      </w:r>
      <w:r>
        <w:rPr>
          <w:rFonts w:ascii="Times New Roman;Times;serif" w:hAnsi="Times New Roman;Times;serif"/>
          <w:sz w:val="20"/>
        </w:rPr>
        <w:t xml:space="preserve">Notes, $142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€141 of our </w:t>
      </w:r>
      <w:r>
        <w:rPr>
          <w:rStyle w:val="Emphasis"/>
          <w:rFonts w:ascii="Times New Roman;Times;serif" w:hAnsi="Times New Roman;Times;serif"/>
          <w:sz w:val="20"/>
        </w:rPr>
        <w:t xml:space="preserve">July 2029 </w:t>
      </w:r>
      <w:r>
        <w:rPr>
          <w:rFonts w:ascii="Times New Roman;Times;serif" w:hAnsi="Times New Roman;Times;serif"/>
          <w:sz w:val="20"/>
        </w:rPr>
        <w:t xml:space="preserve">Notes ($164 as of </w:t>
      </w:r>
      <w:r>
        <w:rPr>
          <w:rStyle w:val="Emphasis"/>
          <w:rFonts w:ascii="Times New Roman;Times;serif" w:hAnsi="Times New Roman;Times;serif"/>
          <w:sz w:val="20"/>
        </w:rPr>
        <w:t xml:space="preserve">January 7, 2026), </w:t>
      </w:r>
      <w:r>
        <w:rPr>
          <w:rFonts w:ascii="Times New Roman;Times;serif" w:hAnsi="Times New Roman;Times;serif"/>
          <w:sz w:val="20"/>
        </w:rPr>
        <w:t xml:space="preserve">$173 of our </w:t>
      </w:r>
      <w:r>
        <w:rPr>
          <w:rStyle w:val="Emphasis"/>
          <w:rFonts w:ascii="Times New Roman;Times;serif" w:hAnsi="Times New Roman;Times;serif"/>
          <w:sz w:val="20"/>
        </w:rPr>
        <w:t xml:space="preserve">September 2030 </w:t>
      </w:r>
      <w:r>
        <w:rPr>
          <w:rFonts w:ascii="Times New Roman;Times;serif" w:hAnsi="Times New Roman;Times;serif"/>
          <w:sz w:val="20"/>
        </w:rPr>
        <w:t xml:space="preserve">Notes, €9 of our </w:t>
      </w:r>
      <w:r>
        <w:rPr>
          <w:rStyle w:val="Emphasis"/>
          <w:rFonts w:ascii="Times New Roman;Times;serif" w:hAnsi="Times New Roman;Times;serif"/>
          <w:sz w:val="20"/>
        </w:rPr>
        <w:t xml:space="preserve">July 2031 </w:t>
      </w:r>
      <w:r>
        <w:rPr>
          <w:rFonts w:ascii="Times New Roman;Times;serif" w:hAnsi="Times New Roman;Times;serif"/>
          <w:sz w:val="20"/>
        </w:rPr>
        <w:t xml:space="preserve">Notes ($10 as of </w:t>
      </w:r>
      <w:r>
        <w:rPr>
          <w:rStyle w:val="Emphasis"/>
          <w:rFonts w:ascii="Times New Roman;Times;serif" w:hAnsi="Times New Roman;Times;serif"/>
          <w:sz w:val="20"/>
        </w:rPr>
        <w:t xml:space="preserve">January 7, 2026) </w:t>
      </w:r>
      <w:r>
        <w:rPr>
          <w:rFonts w:ascii="Times New Roman;Times;serif" w:hAnsi="Times New Roman;Times;serif"/>
          <w:sz w:val="20"/>
        </w:rPr>
        <w:t xml:space="preserve">and $152 of our </w:t>
      </w:r>
      <w:r>
        <w:rPr>
          <w:rStyle w:val="Emphasis"/>
          <w:rFonts w:ascii="Times New Roman;Times;serif" w:hAnsi="Times New Roman;Times;serif"/>
          <w:sz w:val="20"/>
        </w:rPr>
        <w:t xml:space="preserve">February 2032 </w:t>
      </w:r>
      <w:r>
        <w:rPr>
          <w:rFonts w:ascii="Times New Roman;Times;serif" w:hAnsi="Times New Roman;Times;serif"/>
          <w:sz w:val="20"/>
        </w:rPr>
        <w:t xml:space="preserve">Notes at prices equal to 100.00% plus accrued and unpaid interest. On </w:t>
      </w:r>
      <w:r>
        <w:rPr>
          <w:rStyle w:val="Emphasis"/>
          <w:rFonts w:ascii="Times New Roman;Times;serif" w:hAnsi="Times New Roman;Times;serif"/>
          <w:sz w:val="20"/>
        </w:rPr>
        <w:t xml:space="preserve">January 8, 2026, </w:t>
      </w:r>
      <w:r>
        <w:rPr>
          <w:rFonts w:ascii="Times New Roman;Times;serif" w:hAnsi="Times New Roman;Times;serif"/>
          <w:sz w:val="20"/>
        </w:rPr>
        <w:t xml:space="preserve">we redeemed the remaining $262 of our </w:t>
      </w:r>
      <w:r>
        <w:rPr>
          <w:rStyle w:val="Emphasis"/>
          <w:rFonts w:ascii="Times New Roman;Times;serif" w:hAnsi="Times New Roman;Times;serif"/>
          <w:sz w:val="20"/>
        </w:rPr>
        <w:t xml:space="preserve">November 2027 </w:t>
      </w:r>
      <w:r>
        <w:rPr>
          <w:rFonts w:ascii="Times New Roman;Times;serif" w:hAnsi="Times New Roman;Times;serif"/>
          <w:sz w:val="20"/>
        </w:rPr>
        <w:t xml:space="preserve">Notes and the remaining $258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at prices equal to 100.00% plus accrued and unpaid interest. During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recognized a $7 loss on extinguishment of debt comprised of the write-off of previously deferred financing costs associated with the redeemed senior notes.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pPr>
      <w:r>
        <w:rPr>
          <w:rFonts w:ascii="Times New Roman;Times;serif" w:hAnsi="Times New Roman;Times;serif"/>
          <w:i/>
          <w:sz w:val="20"/>
        </w:rPr>
        <w:t>Senior notes redemption provisions </w:t>
      </w:r>
      <w:r>
        <w:rPr>
          <w:rFonts w:ascii="Times New Roman;Times;serif" w:hAnsi="Times New Roman;Times;serif"/>
          <w:sz w:val="20"/>
        </w:rPr>
        <w:t xml:space="preserve">— We </w:t>
      </w:r>
      <w:r>
        <w:rPr>
          <w:rStyle w:val="Emphasis"/>
          <w:rFonts w:ascii="Times New Roman;Times;serif" w:hAnsi="Times New Roman;Times;serif"/>
          <w:sz w:val="20"/>
        </w:rPr>
        <w:t xml:space="preserve">may </w:t>
      </w:r>
      <w:r>
        <w:rPr>
          <w:rFonts w:ascii="Times New Roman;Times;serif" w:hAnsi="Times New Roman;Times;serif"/>
          <w:sz w:val="20"/>
        </w:rPr>
        <w:t xml:space="preserve">redeem some or all of the senior notes at the following redemption prices (expressed as percentages of principal amount), plus accrued and unpaid interest to the redemption date, if redeemed during the </w:t>
      </w:r>
      <w:r>
        <w:rPr>
          <w:rStyle w:val="Emphasis"/>
          <w:rFonts w:ascii="Times New Roman;Times;serif" w:hAnsi="Times New Roman;Times;serif"/>
          <w:sz w:val="20"/>
        </w:rPr>
        <w:t>12</w:t>
      </w:r>
      <w:r>
        <w:rPr>
          <w:rFonts w:ascii="Times New Roman;Times;serif" w:hAnsi="Times New Roman;Times;serif"/>
          <w:sz w:val="20"/>
        </w:rPr>
        <w:t>-month period commencing on the anniversary date of the senior notes in the year set forth below:</w:t>
      </w:r>
    </w:p>
    <w:p>
      <w:pPr>
        <w:pStyle w:val="TextBody"/>
        <w:bidi w:val="0"/>
        <w:spacing w:before="0" w:after="0"/>
        <w:ind w:left="0" w:right="0" w:hanging="0"/>
        <w:jc w:val="left"/>
        <w:rPr/>
      </w:pPr>
      <w:r>
        <w:rPr/>
        <w:t> </w:t>
      </w:r>
    </w:p>
    <w:tbl>
      <w:tblPr>
        <w:tblW w:w="5216" w:type="dxa"/>
        <w:jc w:val="left"/>
        <w:tblInd w:w="0" w:type="dxa"/>
        <w:tblLayout w:type="fixed"/>
        <w:tblCellMar>
          <w:top w:w="0" w:type="dxa"/>
          <w:left w:w="0" w:type="dxa"/>
          <w:bottom w:w="0" w:type="dxa"/>
          <w:right w:w="0" w:type="dxa"/>
        </w:tblCellMar>
      </w:tblPr>
      <w:tblGrid>
        <w:gridCol w:w="440"/>
        <w:gridCol w:w="60"/>
        <w:gridCol w:w="75"/>
        <w:gridCol w:w="874"/>
        <w:gridCol w:w="185"/>
        <w:gridCol w:w="60"/>
        <w:gridCol w:w="74"/>
        <w:gridCol w:w="875"/>
        <w:gridCol w:w="185"/>
        <w:gridCol w:w="60"/>
        <w:gridCol w:w="75"/>
        <w:gridCol w:w="874"/>
        <w:gridCol w:w="185"/>
        <w:gridCol w:w="60"/>
        <w:gridCol w:w="75"/>
        <w:gridCol w:w="874"/>
        <w:gridCol w:w="185"/>
      </w:tblGrid>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3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Price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w:t>
            </w:r>
          </w:p>
        </w:tc>
        <w:tc>
          <w:tcPr>
            <w:tcW w:w="18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2029 Notes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2030 Notes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2031 Notes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2032 Notes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At any time prior to </w:t>
      </w:r>
      <w:r>
        <w:rPr>
          <w:rStyle w:val="Emphasis"/>
          <w:rFonts w:ascii="Times New Roman;Times;serif" w:hAnsi="Times New Roman;Times;serif"/>
          <w:caps w:val="false"/>
          <w:smallCaps w:val="false"/>
          <w:sz w:val="20"/>
        </w:rPr>
        <w:t xml:space="preserve">July 15, 2026, </w:t>
      </w:r>
      <w:r>
        <w:rPr>
          <w:rFonts w:ascii="Times New Roman;Times;serif" w:hAnsi="Times New Roman;Times;serif"/>
          <w:caps w:val="false"/>
          <w:smallCaps w:val="false"/>
          <w:sz w:val="20"/>
        </w:rPr>
        <w:t xml:space="preserve">we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redeem up to </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of the aggregate principal amount of the </w:t>
      </w:r>
      <w:r>
        <w:rPr>
          <w:rStyle w:val="Emphasis"/>
          <w:rFonts w:ascii="Times New Roman;Times;serif" w:hAnsi="Times New Roman;Times;serif"/>
          <w:caps w:val="false"/>
          <w:smallCaps w:val="false"/>
          <w:sz w:val="20"/>
        </w:rPr>
        <w:t xml:space="preserve">July 2031 </w:t>
      </w:r>
      <w:r>
        <w:rPr>
          <w:rFonts w:ascii="Times New Roman;Times;serif" w:hAnsi="Times New Roman;Times;serif"/>
          <w:caps w:val="false"/>
          <w:smallCaps w:val="false"/>
          <w:sz w:val="20"/>
        </w:rPr>
        <w:t xml:space="preserve">Notes in an amount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to exceed the amount of proceeds of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or more equity offerings, at a price equal to 108.500% of the principal amount thereof, plus accrued and unpaid interest, if any, to the redemption date, provided that at least 50% of the aggregate principal amount of the </w:t>
      </w:r>
      <w:r>
        <w:rPr>
          <w:rStyle w:val="Emphasis"/>
          <w:rFonts w:ascii="Times New Roman;Times;serif" w:hAnsi="Times New Roman;Times;serif"/>
          <w:caps w:val="false"/>
          <w:smallCaps w:val="false"/>
          <w:sz w:val="20"/>
        </w:rPr>
        <w:t xml:space="preserve">July 2031 </w:t>
      </w:r>
      <w:r>
        <w:rPr>
          <w:rFonts w:ascii="Times New Roman;Times;serif" w:hAnsi="Times New Roman;Times;serif"/>
          <w:caps w:val="false"/>
          <w:smallCaps w:val="false"/>
          <w:sz w:val="20"/>
        </w:rPr>
        <w:t xml:space="preserve">Notes remain outstanding after the redemption.  Prior to </w:t>
      </w:r>
      <w:r>
        <w:rPr>
          <w:rStyle w:val="Emphasis"/>
          <w:rFonts w:ascii="Times New Roman;Times;serif" w:hAnsi="Times New Roman;Times;serif"/>
          <w:caps w:val="false"/>
          <w:smallCaps w:val="false"/>
          <w:sz w:val="20"/>
        </w:rPr>
        <w:t xml:space="preserve">July 15, 2026, </w:t>
      </w:r>
      <w:r>
        <w:rPr>
          <w:rFonts w:ascii="Times New Roman;Times;serif" w:hAnsi="Times New Roman;Times;serif"/>
          <w:caps w:val="false"/>
          <w:smallCaps w:val="false"/>
          <w:sz w:val="20"/>
        </w:rPr>
        <w:t xml:space="preserve">we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also redeem some or all of the </w:t>
      </w:r>
      <w:r>
        <w:rPr>
          <w:rStyle w:val="Emphasis"/>
          <w:rFonts w:ascii="Times New Roman;Times;serif" w:hAnsi="Times New Roman;Times;serif"/>
          <w:caps w:val="false"/>
          <w:smallCaps w:val="false"/>
          <w:sz w:val="20"/>
        </w:rPr>
        <w:t xml:space="preserve">July 2031 </w:t>
      </w:r>
      <w:r>
        <w:rPr>
          <w:rFonts w:ascii="Times New Roman;Times;serif" w:hAnsi="Times New Roman;Times;serif"/>
          <w:caps w:val="false"/>
          <w:smallCaps w:val="false"/>
          <w:sz w:val="20"/>
        </w:rPr>
        <w:t xml:space="preserve">Notes at a redemption price equal to 100% of the aggregate principal amount thereof, plus accrued and unpaid interest, if any, to the redemption date plus a “make-whole” premium. We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separated the make-whole premium from the underlying debt instrument to account for it as a derivative instrument as the economic characteristics and the risks of this embedded derivative are clearly and closely related to the economic characteristics and risks of the underlying debt.</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Prior to </w:t>
      </w:r>
      <w:r>
        <w:rPr>
          <w:rStyle w:val="Emphasis"/>
          <w:rFonts w:ascii="Times New Roman;Times;serif" w:hAnsi="Times New Roman;Times;serif"/>
          <w:caps w:val="false"/>
          <w:smallCaps w:val="false"/>
          <w:sz w:val="20"/>
        </w:rPr>
        <w:t xml:space="preserve">February 15, 2027, </w:t>
      </w:r>
      <w:r>
        <w:rPr>
          <w:rFonts w:ascii="Times New Roman;Times;serif" w:hAnsi="Times New Roman;Times;serif"/>
          <w:caps w:val="false"/>
          <w:smallCaps w:val="false"/>
          <w:sz w:val="20"/>
        </w:rPr>
        <w:t xml:space="preserve">we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redeem some or all of the </w:t>
      </w:r>
      <w:r>
        <w:rPr>
          <w:rStyle w:val="Emphasis"/>
          <w:rFonts w:ascii="Times New Roman;Times;serif" w:hAnsi="Times New Roman;Times;serif"/>
          <w:caps w:val="false"/>
          <w:smallCaps w:val="false"/>
          <w:sz w:val="20"/>
        </w:rPr>
        <w:t xml:space="preserve">February 2032 </w:t>
      </w:r>
      <w:r>
        <w:rPr>
          <w:rFonts w:ascii="Times New Roman;Times;serif" w:hAnsi="Times New Roman;Times;serif"/>
          <w:caps w:val="false"/>
          <w:smallCaps w:val="false"/>
          <w:sz w:val="20"/>
        </w:rPr>
        <w:t xml:space="preserve">Notes at a redemption price equal to 100% of the aggregate principal amount thereof, plus accrued and unpaid interest, if any, to the redemption date plus a “make-whole” premium. We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separated the make-whole premium from the underlying debt instrument to account for it as a derivative instrument as the economic characteristics and the risks of this embedded derivative are clearly and closely related to the economic characteristics and risks of the underlying debt.</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pPr>
      <w:r>
        <w:rPr>
          <w:rFonts w:ascii="Times New Roman;Times;serif" w:hAnsi="Times New Roman;Times;serif"/>
          <w:i/>
          <w:sz w:val="20"/>
        </w:rPr>
        <w:t>Credit agreement</w:t>
      </w:r>
      <w:r>
        <w:rPr>
          <w:rFonts w:ascii="Times New Roman;Times;serif" w:hAnsi="Times New Roman;Times;serif"/>
          <w:sz w:val="20"/>
        </w:rPr>
        <w:t xml:space="preserve"> — On </w:t>
      </w:r>
      <w:r>
        <w:rPr>
          <w:rStyle w:val="Emphasis"/>
          <w:rFonts w:ascii="Times New Roman;Times;serif" w:hAnsi="Times New Roman;Times;serif"/>
          <w:sz w:val="20"/>
        </w:rPr>
        <w:t xml:space="preserve">July 31, 2025, </w:t>
      </w:r>
      <w:r>
        <w:rPr>
          <w:rFonts w:ascii="Times New Roman;Times;serif" w:hAnsi="Times New Roman;Times;serif"/>
          <w:sz w:val="20"/>
        </w:rPr>
        <w:t xml:space="preserve">we amended our credit and guaranty agreement to include a $250 Term A Facility. Borrowings under the Term A Facility bear interest at a floating rate based on Term Secured Overnight Financing Rate ("SOFR") (as described in the credit agreement) plus a margin. The Term A Facility matured at the earlier of five business days after the consummation of the Off-Highway business sale or </w:t>
      </w:r>
      <w:r>
        <w:rPr>
          <w:rStyle w:val="Emphasis"/>
          <w:rFonts w:ascii="Times New Roman;Times;serif" w:hAnsi="Times New Roman;Times;serif"/>
          <w:sz w:val="20"/>
        </w:rPr>
        <w:t xml:space="preserve">July 30, 2026. </w:t>
      </w:r>
      <w:r>
        <w:rPr>
          <w:rFonts w:ascii="Times New Roman;Times;serif" w:hAnsi="Times New Roman;Times;serif"/>
          <w:sz w:val="20"/>
        </w:rPr>
        <w:t xml:space="preserve">We were required to make quarterly installments on the Term A Facility on the last day of each quarter commencing on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in an amount equal to 10% of the original amount borrowed adjusted for any prepayments. On </w:t>
      </w:r>
      <w:r>
        <w:rPr>
          <w:rStyle w:val="Emphasis"/>
          <w:rFonts w:ascii="Times New Roman;Times;serif" w:hAnsi="Times New Roman;Times;serif"/>
          <w:sz w:val="20"/>
        </w:rPr>
        <w:t xml:space="preserve">July 31, 2025, </w:t>
      </w:r>
      <w:r>
        <w:rPr>
          <w:rFonts w:ascii="Times New Roman;Times;serif" w:hAnsi="Times New Roman;Times;serif"/>
          <w:sz w:val="20"/>
        </w:rPr>
        <w:t xml:space="preserve">we fully drew the Term A Facility and used the proceeds to pay down outstanding borrowings on our Revolving Facility. On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we made the required $25 payment on the Term A Facility. 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Dana completed the sale of its Off-Highway business.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 On </w:t>
      </w:r>
      <w:r>
        <w:rPr>
          <w:rStyle w:val="Emphasis"/>
          <w:rFonts w:ascii="Times New Roman;Times;serif" w:hAnsi="Times New Roman;Times;serif"/>
          <w:sz w:val="20"/>
        </w:rPr>
        <w:t xml:space="preserve">January 2, 2026, </w:t>
      </w:r>
      <w:r>
        <w:rPr>
          <w:rFonts w:ascii="Times New Roman;Times;serif" w:hAnsi="Times New Roman;Times;serif"/>
          <w:sz w:val="20"/>
        </w:rPr>
        <w:t>we repaid the $225 outstanding balance on the Term A Facility.</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Deferred financing costs on our Revolving Facility are included in other noncurrent assets and are being amortized over the life of the Revolving Facility. Each the Revolving Facility and Term A Facility is guaranteed by all of our wholly-owned domestic subsidiaries subject to certain exceptions (the guarantors) and is secured by a </w:t>
      </w:r>
      <w:r>
        <w:rPr>
          <w:rStyle w:val="Emphasis"/>
          <w:rFonts w:ascii="Times New Roman;Times;serif" w:hAnsi="Times New Roman;Times;serif"/>
          <w:sz w:val="20"/>
        </w:rPr>
        <w:t>first</w:t>
      </w:r>
      <w:r>
        <w:rPr>
          <w:rFonts w:ascii="Times New Roman;Times;serif" w:hAnsi="Times New Roman;Times;serif"/>
          <w:sz w:val="20"/>
        </w:rPr>
        <w:t>-priority lien on substantially all of the assets of Dana and the guarantors, subject to certain exceptions.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Advances under the Revolving Facility bear interest at a floating rate based on, at our option, the base rate or the SOFR (each as described in the credit agreement) plus a margin as set forth below:</w:t>
      </w:r>
    </w:p>
    <w:p>
      <w:pPr>
        <w:pStyle w:val="TextBody"/>
        <w:bidi w:val="0"/>
        <w:spacing w:before="0" w:after="0"/>
        <w:ind w:left="0" w:right="0" w:firstLine="360"/>
        <w:jc w:val="left"/>
        <w:rPr/>
      </w:pPr>
      <w:r>
        <w:rPr/>
        <w:t> </w:t>
      </w:r>
    </w:p>
    <w:tbl>
      <w:tblPr>
        <w:tblW w:w="6878" w:type="dxa"/>
        <w:jc w:val="left"/>
        <w:tblInd w:w="0" w:type="dxa"/>
        <w:tblLayout w:type="fixed"/>
        <w:tblCellMar>
          <w:top w:w="0" w:type="dxa"/>
          <w:left w:w="0" w:type="dxa"/>
          <w:bottom w:w="0" w:type="dxa"/>
          <w:right w:w="0" w:type="dxa"/>
        </w:tblCellMar>
      </w:tblPr>
      <w:tblGrid>
        <w:gridCol w:w="4640"/>
        <w:gridCol w:w="60"/>
        <w:gridCol w:w="113"/>
        <w:gridCol w:w="716"/>
        <w:gridCol w:w="185"/>
        <w:gridCol w:w="60"/>
        <w:gridCol w:w="125"/>
        <w:gridCol w:w="794"/>
        <w:gridCol w:w="185"/>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Leverage Ratio</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Base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SOFR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or equal to 1.00:1.00</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1.00:1.00 but less than or equal to 2.00:1.00</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2.00:1.00</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Commitment fees are applied based on the average daily unused portion of the available amounts under the Revolving Facility as set forth below:</w:t>
      </w:r>
    </w:p>
    <w:p>
      <w:pPr>
        <w:pStyle w:val="TextBody"/>
        <w:bidi w:val="0"/>
        <w:spacing w:before="0" w:after="0"/>
        <w:ind w:left="0" w:right="0" w:hanging="0"/>
        <w:jc w:val="left"/>
        <w:rPr/>
      </w:pPr>
      <w:r>
        <w:rPr/>
        <w:t> </w:t>
      </w:r>
    </w:p>
    <w:tbl>
      <w:tblPr>
        <w:tblW w:w="6269" w:type="dxa"/>
        <w:jc w:val="left"/>
        <w:tblInd w:w="0" w:type="dxa"/>
        <w:tblLayout w:type="fixed"/>
        <w:tblCellMar>
          <w:top w:w="0" w:type="dxa"/>
          <w:left w:w="0" w:type="dxa"/>
          <w:bottom w:w="28" w:type="dxa"/>
          <w:right w:w="0" w:type="dxa"/>
        </w:tblCellMar>
      </w:tblPr>
      <w:tblGrid>
        <w:gridCol w:w="4640"/>
        <w:gridCol w:w="60"/>
        <w:gridCol w:w="151"/>
        <w:gridCol w:w="1233"/>
        <w:gridCol w:w="185"/>
      </w:tblGrid>
      <w:tr>
        <w:trPr/>
        <w:tc>
          <w:tcPr>
            <w:tcW w:w="4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Leverage Ratio</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Commitment Fee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or equal to 1.00:1.00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2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1.00:1.00 but less than or equal to 2.00:1.00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12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2.00:1.00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2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Up to $275 of the Revolving Facility </w:t>
      </w:r>
      <w:r>
        <w:rPr>
          <w:rStyle w:val="Emphasis"/>
          <w:rFonts w:ascii="Times New Roman;Times;serif" w:hAnsi="Times New Roman;Times;serif"/>
          <w:sz w:val="20"/>
        </w:rPr>
        <w:t xml:space="preserve">may </w:t>
      </w:r>
      <w:r>
        <w:rPr>
          <w:rFonts w:ascii="Times New Roman;Times;serif" w:hAnsi="Times New Roman;Times;serif"/>
          <w:sz w:val="20"/>
        </w:rPr>
        <w:t>be applied to letters of credit, which reduces availability. We pay a fee for issued and undrawn letters of credit in an amount per annum equal to the applicable margin for SOFR rate advances based on a quarterly average availability under issued and undrawn letters of credit under the Revolving Facility and a per annum fronting fee of 0.125%, payable quarterly.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sz w:val="20"/>
        </w:rPr>
        <w:t>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there were no outstanding borrowings under the Revolving Facility and we had utilized $10 for letters of credit. We had availability at </w:t>
      </w:r>
      <w:r>
        <w:rPr>
          <w:rStyle w:val="Emphasis"/>
          <w:rFonts w:ascii="Times New Roman;Times;serif" w:hAnsi="Times New Roman;Times;serif"/>
          <w:sz w:val="20"/>
        </w:rPr>
        <w:t>June 30, 2026</w:t>
      </w:r>
      <w:r>
        <w:rPr>
          <w:rFonts w:ascii="Times New Roman;Times;serif" w:hAnsi="Times New Roman;Times;serif"/>
          <w:sz w:val="20"/>
        </w:rPr>
        <w:t xml:space="preserve"> under the Revolving Facility of $1,140 after deducting outstanding letters of credit.</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rFonts w:ascii="Times New Roman;Times;serif" w:hAnsi="Times New Roman;Times;serif"/>
          <w:i/>
          <w:sz w:val="20"/>
        </w:rPr>
        <w:t>Debt covenants</w:t>
      </w:r>
      <w:r>
        <w:rPr>
          <w:rFonts w:ascii="Times New Roman;Times;serif" w:hAnsi="Times New Roman;Times;serif"/>
          <w:sz w:val="20"/>
        </w:rPr>
        <w:t xml:space="preserve"> — At </w:t>
      </w:r>
      <w:r>
        <w:rPr>
          <w:rStyle w:val="Emphasis"/>
          <w:rFonts w:ascii="Times New Roman;Times;serif" w:hAnsi="Times New Roman;Times;serif"/>
          <w:sz w:val="20"/>
        </w:rPr>
        <w:t>June 30, 2026</w:t>
      </w:r>
      <w:r>
        <w:rPr>
          <w:rFonts w:ascii="Times New Roman;Times;serif" w:hAnsi="Times New Roman;Times;serif"/>
          <w:sz w:val="20"/>
        </w:rPr>
        <w:t xml:space="preserve">, we were in compliance with the covenants of our financing agreements. Under the Revolving Facility and the senior notes, we are required to comply with certain incurrence-based covenants customary for facilities of these types and, in the case of the Revolving Facility, a maintenance covenant tested on the last day of each fiscal quarter requiring us to maintain a </w:t>
      </w:r>
      <w:r>
        <w:rPr>
          <w:rStyle w:val="Emphasis"/>
          <w:rFonts w:ascii="Times New Roman;Times;serif" w:hAnsi="Times New Roman;Times;serif"/>
          <w:sz w:val="20"/>
        </w:rPr>
        <w:t>first</w:t>
      </w:r>
      <w:r>
        <w:rPr>
          <w:rFonts w:ascii="Times New Roman;Times;serif" w:hAnsi="Times New Roman;Times;serif"/>
          <w:sz w:val="20"/>
        </w:rPr>
        <w:t xml:space="preserve"> lien net leverage ratio </w:t>
      </w:r>
      <w:r>
        <w:rPr>
          <w:rStyle w:val="Emphasis"/>
          <w:rFonts w:ascii="Times New Roman;Times;serif" w:hAnsi="Times New Roman;Times;serif"/>
          <w:sz w:val="20"/>
        </w:rPr>
        <w:t>not</w:t>
      </w:r>
      <w:r>
        <w:rPr>
          <w:rFonts w:ascii="Times New Roman;Times;serif" w:hAnsi="Times New Roman;Times;serif"/>
          <w:sz w:val="20"/>
        </w:rPr>
        <w:t xml:space="preserve"> to exceed 2.00 to </w:t>
      </w:r>
      <w:r>
        <w:rPr>
          <w:rStyle w:val="Emphasis"/>
          <w:rFonts w:ascii="Times New Roman;Times;serif" w:hAnsi="Times New Roman;Times;serif"/>
          <w:sz w:val="20"/>
        </w:rPr>
        <w:t>1.00.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Bridge facility</w:t>
      </w:r>
      <w:r>
        <w:rPr>
          <w:rFonts w:ascii="Times New Roman;Times;serif" w:hAnsi="Times New Roman;Times;serif"/>
          <w:sz w:val="20"/>
        </w:rPr>
        <w:t xml:space="preserve"> — On </w:t>
      </w:r>
      <w:r>
        <w:rPr>
          <w:rStyle w:val="Emphasis"/>
          <w:rFonts w:ascii="Times New Roman;Times;serif" w:hAnsi="Times New Roman;Times;serif"/>
          <w:sz w:val="20"/>
        </w:rPr>
        <w:t xml:space="preserve">June 10, 2026, </w:t>
      </w:r>
      <w:r>
        <w:rPr>
          <w:rFonts w:ascii="Times New Roman;Times;serif" w:hAnsi="Times New Roman;Times;serif"/>
          <w:sz w:val="20"/>
        </w:rPr>
        <w:t xml:space="preserve">we became a party to a $2,600 bridge facility (the Bridge Facility). The Bridge Facility serves as a backstop to certain contemplated financing transactions associated with Dana's intended acquisition of Eaton's Mobility business. See Note </w:t>
      </w:r>
      <w:r>
        <w:rPr>
          <w:rStyle w:val="Emphasis"/>
          <w:rFonts w:ascii="Times New Roman;Times;serif" w:hAnsi="Times New Roman;Times;serif"/>
          <w:sz w:val="20"/>
        </w:rPr>
        <w:t>1</w:t>
      </w:r>
      <w:r>
        <w:rPr>
          <w:rFonts w:ascii="Times New Roman;Times;serif" w:hAnsi="Times New Roman;Times;serif"/>
          <w:sz w:val="20"/>
        </w:rPr>
        <w:t xml:space="preserve"> for additional information. The Bridge Facility </w:t>
      </w:r>
      <w:r>
        <w:rPr>
          <w:rStyle w:val="Emphasis"/>
          <w:rFonts w:ascii="Times New Roman;Times;serif" w:hAnsi="Times New Roman;Times;serif"/>
          <w:sz w:val="20"/>
        </w:rPr>
        <w:t xml:space="preserve">may </w:t>
      </w:r>
      <w:r>
        <w:rPr>
          <w:rFonts w:ascii="Times New Roman;Times;serif" w:hAnsi="Times New Roman;Times;serif"/>
          <w:sz w:val="20"/>
        </w:rPr>
        <w:t>be drawn upon only if the acquisition transaction closes. Availability under the Bridge Facility is subject to reduction to the extent contemplated financing transactions are completed prior to the acquisition transaction closing. We recorded initial deferred commitment fees of $17 related to the Bridge Facility. The deferred commitment fees are included in other current assets and are being amortized over the Bridge Facility's 15-month commitment period.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Subsequent events</w:t>
      </w:r>
      <w:r>
        <w:rPr>
          <w:rFonts w:ascii="Times New Roman;Times;serif" w:hAnsi="Times New Roman;Times;serif"/>
          <w:sz w:val="20"/>
        </w:rPr>
        <w:t xml:space="preserve"> — On </w:t>
      </w:r>
      <w:r>
        <w:rPr>
          <w:rStyle w:val="Emphasis"/>
          <w:rFonts w:ascii="Times New Roman;Times;serif" w:hAnsi="Times New Roman;Times;serif"/>
          <w:sz w:val="20"/>
        </w:rPr>
        <w:t xml:space="preserve">July 1, 2026, </w:t>
      </w:r>
      <w:r>
        <w:rPr>
          <w:rFonts w:ascii="Times New Roman;Times;serif" w:hAnsi="Times New Roman;Times;serif"/>
          <w:sz w:val="20"/>
        </w:rPr>
        <w:t xml:space="preserve">we issued notices of conditional full redemption with a redemption date of </w:t>
      </w:r>
      <w:r>
        <w:rPr>
          <w:rStyle w:val="Emphasis"/>
          <w:rFonts w:ascii="Times New Roman;Times;serif" w:hAnsi="Times New Roman;Times;serif"/>
          <w:sz w:val="20"/>
        </w:rPr>
        <w:t xml:space="preserve">July 31, 2026, </w:t>
      </w:r>
      <w:r>
        <w:rPr>
          <w:rFonts w:ascii="Times New Roman;Times;serif" w:hAnsi="Times New Roman;Times;serif"/>
          <w:sz w:val="20"/>
        </w:rPr>
        <w:t xml:space="preserve">for all of our outstanding </w:t>
      </w:r>
      <w:r>
        <w:rPr>
          <w:rStyle w:val="Emphasis"/>
          <w:rFonts w:ascii="Times New Roman;Times;serif" w:hAnsi="Times New Roman;Times;serif"/>
          <w:sz w:val="20"/>
        </w:rPr>
        <w:t xml:space="preserve">July 2031 </w:t>
      </w:r>
      <w:r>
        <w:rPr>
          <w:rFonts w:ascii="Times New Roman;Times;serif" w:hAnsi="Times New Roman;Times;serif"/>
          <w:sz w:val="20"/>
        </w:rPr>
        <w:t>Notes at a redemption price equal to 104.25% plus accrued and unpaid interest. On </w:t>
      </w:r>
      <w:r>
        <w:rPr>
          <w:rStyle w:val="Emphasis"/>
          <w:rFonts w:ascii="Times New Roman;Times;serif" w:hAnsi="Times New Roman;Times;serif"/>
          <w:sz w:val="20"/>
        </w:rPr>
        <w:t xml:space="preserve"> July 10, 2026, </w:t>
      </w:r>
      <w:r>
        <w:rPr>
          <w:rFonts w:ascii="Times New Roman;Times;serif" w:hAnsi="Times New Roman;Times;serif"/>
          <w:sz w:val="20"/>
        </w:rPr>
        <w:t xml:space="preserve">we amended our credit and guaranty agreement to include a $500 Term A Facility. Borrowings under the Term A Facility bear interest at a floating rate based on Term Secured Overnight Financing Rate (SOFR) (as described in the credit agreement) plus a margin. The Term A Facility matures 364 days from the date of the </w:t>
      </w:r>
      <w:r>
        <w:rPr>
          <w:rStyle w:val="Emphasis"/>
          <w:rFonts w:ascii="Times New Roman;Times;serif" w:hAnsi="Times New Roman;Times;serif"/>
          <w:sz w:val="20"/>
        </w:rPr>
        <w:t>first</w:t>
      </w:r>
      <w:r>
        <w:rPr>
          <w:rFonts w:ascii="Times New Roman;Times;serif" w:hAnsi="Times New Roman;Times;serif"/>
          <w:sz w:val="20"/>
        </w:rPr>
        <w:t xml:space="preserve"> draw on the Term A Facility. We are required to make quarterly installments on the Term A Facility on the last day of each quarter commencing on </w:t>
      </w:r>
      <w:r>
        <w:rPr>
          <w:rStyle w:val="Emphasis"/>
          <w:rFonts w:ascii="Times New Roman;Times;serif" w:hAnsi="Times New Roman;Times;serif"/>
          <w:sz w:val="20"/>
        </w:rPr>
        <w:t xml:space="preserve">December 31, 2026 </w:t>
      </w:r>
      <w:r>
        <w:rPr>
          <w:rFonts w:ascii="Times New Roman;Times;serif" w:hAnsi="Times New Roman;Times;serif"/>
          <w:sz w:val="20"/>
        </w:rPr>
        <w:t xml:space="preserve">in an amount equal to 10% of the original amount borrowed adjusted for any prepayments. On </w:t>
      </w:r>
      <w:r>
        <w:rPr>
          <w:rStyle w:val="Emphasis"/>
          <w:rFonts w:ascii="Times New Roman;Times;serif" w:hAnsi="Times New Roman;Times;serif"/>
          <w:sz w:val="20"/>
        </w:rPr>
        <w:t xml:space="preserve">July 28, 2026, </w:t>
      </w:r>
      <w:r>
        <w:rPr>
          <w:rFonts w:ascii="Times New Roman;Times;serif" w:hAnsi="Times New Roman;Times;serif"/>
          <w:sz w:val="20"/>
        </w:rPr>
        <w:t xml:space="preserve">we fully drew the Term A Facility. On </w:t>
      </w:r>
      <w:r>
        <w:rPr>
          <w:rStyle w:val="Emphasis"/>
          <w:rFonts w:ascii="Times New Roman;Times;serif" w:hAnsi="Times New Roman;Times;serif"/>
          <w:sz w:val="20"/>
        </w:rPr>
        <w:t xml:space="preserve">July 31, 2026, </w:t>
      </w:r>
      <w:r>
        <w:rPr>
          <w:rFonts w:ascii="Times New Roman;Times;serif" w:hAnsi="Times New Roman;Times;serif"/>
          <w:sz w:val="20"/>
        </w:rPr>
        <w:t xml:space="preserve">we redeemed all of our outstanding </w:t>
      </w:r>
      <w:r>
        <w:rPr>
          <w:rStyle w:val="Emphasis"/>
          <w:rFonts w:ascii="Times New Roman;Times;serif" w:hAnsi="Times New Roman;Times;serif"/>
          <w:sz w:val="20"/>
        </w:rPr>
        <w:t xml:space="preserve">July 2031 </w:t>
      </w:r>
      <w:r>
        <w:rPr>
          <w:rFonts w:ascii="Times New Roman;Times;serif" w:hAnsi="Times New Roman;Times;serif"/>
          <w:sz w:val="20"/>
        </w:rPr>
        <w:t>Notes.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2, 2026, </w:t>
      </w:r>
      <w:r>
        <w:rPr>
          <w:rFonts w:ascii="Times New Roman;Times;serif" w:hAnsi="Times New Roman;Times;serif"/>
          <w:sz w:val="20"/>
        </w:rPr>
        <w:t xml:space="preserve">we became a party to a $350 secured term loan A (the Term Loan A) commitment and a $1,200 secured revolving credit facility (the Revolving Credit Facility) commitment. The Term Loan A commitment and the Revolving Credit Facility commitment are associated with Dana's intended acquisition of Eaton's Mobility business. </w:t>
      </w:r>
      <w:r>
        <w:rPr>
          <w:rStyle w:val="Emphasis"/>
          <w:rFonts w:ascii="Times New Roman;Times;serif" w:hAnsi="Times New Roman;Times;serif"/>
          <w:sz w:val="20"/>
        </w:rPr>
        <w:t>No</w:t>
      </w:r>
      <w:r>
        <w:rPr>
          <w:rFonts w:ascii="Times New Roman;Times;serif" w:hAnsi="Times New Roman;Times;serif"/>
          <w:sz w:val="20"/>
        </w:rPr>
        <w:t xml:space="preserve"> amounts are available to be drawn prior to the acquisition transaction closing.</w:t>
      </w:r>
    </w:p>
    <w:p>
      <w:pPr>
        <w:pStyle w:val="TextBody"/>
        <w:bidi w:val="0"/>
        <w:spacing w:before="0" w:after="283"/>
        <w:jc w:val="left"/>
        <w:rPr/>
      </w:pPr>
      <w:r>
        <w:rPr/>
        <w:t xml:space="preserve">  </w:t>
      </w:r>
    </w:p>
    <w:p>
      <w:pPr>
        <w:pStyle w:val="TextBody"/>
        <w:bidi w:val="0"/>
        <w:spacing w:before="0" w:after="0"/>
        <w:ind w:left="0" w:right="0" w:hanging="0"/>
        <w:jc w:val="left"/>
        <w:rPr/>
      </w:pPr>
      <w:bookmarkStart w:id="18" w:name="fn12"/>
      <w:bookmarkEnd w:id="18"/>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xml:space="preserve"> Fair Value Measurements and Derivatives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measuring the fair value of our assets and liabilities, we use market data or assumptions that we believe market participants would use in pricing an asset or liability including assumptions about risk when appropriate. Our valuation techniques include a combination of observable and unobservable inputs.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measurements on a recurring basis</w:t>
      </w:r>
      <w:r>
        <w:rPr>
          <w:rFonts w:ascii="Times New Roman;Times;serif" w:hAnsi="Times New Roman;Times;serif"/>
          <w:sz w:val="20"/>
        </w:rPr>
        <w:t xml:space="preserve"> — Assets and liabilities that are carried in our balance sheets at fair value are as follows:</w:t>
      </w:r>
    </w:p>
    <w:p>
      <w:pPr>
        <w:pStyle w:val="TextBody"/>
        <w:bidi w:val="0"/>
        <w:spacing w:before="0" w:after="0"/>
        <w:ind w:left="0" w:right="0" w:hanging="0"/>
        <w:jc w:val="left"/>
        <w:rPr/>
      </w:pPr>
      <w:r>
        <w:rPr/>
        <w:t> </w:t>
      </w:r>
    </w:p>
    <w:tbl>
      <w:tblPr>
        <w:tblW w:w="9078" w:type="dxa"/>
        <w:jc w:val="left"/>
        <w:tblInd w:w="0" w:type="dxa"/>
        <w:tblLayout w:type="fixed"/>
        <w:tblCellMar>
          <w:top w:w="0" w:type="dxa"/>
          <w:left w:w="0" w:type="dxa"/>
          <w:bottom w:w="0" w:type="dxa"/>
          <w:right w:w="0" w:type="dxa"/>
        </w:tblCellMar>
      </w:tblPr>
      <w:tblGrid>
        <w:gridCol w:w="2210"/>
        <w:gridCol w:w="60"/>
        <w:gridCol w:w="2285"/>
        <w:gridCol w:w="60"/>
        <w:gridCol w:w="1385"/>
        <w:gridCol w:w="60"/>
        <w:gridCol w:w="60"/>
        <w:gridCol w:w="412"/>
        <w:gridCol w:w="762"/>
        <w:gridCol w:w="65"/>
        <w:gridCol w:w="65"/>
        <w:gridCol w:w="561"/>
        <w:gridCol w:w="1033"/>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Category</w:t>
            </w:r>
          </w:p>
        </w:tc>
        <w:tc>
          <w:tcPr>
            <w:tcW w:w="60" w:type="dxa"/>
            <w:tcBorders/>
            <w:shd w:fill="FFFFFF" w:val="clear"/>
            <w:vAlign w:val="center"/>
          </w:tcPr>
          <w:p>
            <w:pPr>
              <w:pStyle w:val="TableContents"/>
              <w:bidi w:val="0"/>
              <w:spacing w:before="0" w:after="283"/>
              <w:ind w:left="0" w:right="0" w:hanging="0"/>
              <w:jc w:val="center"/>
              <w:rPr/>
            </w:pPr>
            <w:r>
              <w:rPr/>
              <w:t> </w:t>
            </w:r>
          </w:p>
        </w:tc>
        <w:tc>
          <w:tcPr>
            <w:tcW w:w="22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Balance Sheet Location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 Level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color w:val="000000"/>
                <w:sz w:val="20"/>
              </w:rPr>
              <w:t>June 30, 2026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color w:val="000000"/>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forward contracts</w:t>
            </w:r>
          </w:p>
        </w:tc>
        <w:tc>
          <w:tcPr>
            <w:tcW w:w="60" w:type="dxa"/>
            <w:tcBorders/>
            <w:shd w:fill="CCEEFF" w:val="clear"/>
            <w:vAlign w:val="center"/>
          </w:tcPr>
          <w:p>
            <w:pPr>
              <w:pStyle w:val="TableContents"/>
              <w:bidi w:val="0"/>
              <w:spacing w:before="0" w:after="283"/>
              <w:jc w:val="left"/>
              <w:rPr/>
            </w:pPr>
            <w:r>
              <w:rPr/>
              <w:t> </w:t>
            </w:r>
          </w:p>
        </w:tc>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ind w:left="0" w:right="0" w:hanging="0"/>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FFFFFF" w:val="clear"/>
            <w:vAlign w:val="center"/>
          </w:tcPr>
          <w:p>
            <w:pPr>
              <w:pStyle w:val="TableContents"/>
              <w:bidi w:val="0"/>
              <w:spacing w:before="0" w:after="283"/>
              <w:jc w:val="center"/>
              <w:rPr/>
            </w:pPr>
            <w:r>
              <w:rPr/>
              <w:t> </w:t>
            </w:r>
          </w:p>
        </w:tc>
        <w:tc>
          <w:tcPr>
            <w:tcW w:w="228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Accounts receivable - Other</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CCEEFF" w:val="clear"/>
            <w:vAlign w:val="center"/>
          </w:tcPr>
          <w:p>
            <w:pPr>
              <w:pStyle w:val="TableContents"/>
              <w:bidi w:val="0"/>
              <w:spacing w:before="0" w:after="283"/>
              <w:jc w:val="center"/>
              <w:rPr/>
            </w:pPr>
            <w:r>
              <w:rPr/>
              <w:t> </w:t>
            </w:r>
          </w:p>
        </w:tc>
        <w:tc>
          <w:tcPr>
            <w:tcW w:w="22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FFFFFF" w:val="clear"/>
            <w:vAlign w:val="center"/>
          </w:tcPr>
          <w:p>
            <w:pPr>
              <w:pStyle w:val="TableContents"/>
              <w:bidi w:val="0"/>
              <w:spacing w:before="0" w:after="283"/>
              <w:jc w:val="center"/>
              <w:rPr/>
            </w:pPr>
            <w:r>
              <w:rPr/>
              <w:t> </w:t>
            </w:r>
          </w:p>
        </w:tc>
        <w:tc>
          <w:tcPr>
            <w:tcW w:w="228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Accounts receivable - Other</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CCEEFF" w:val="clear"/>
            <w:vAlign w:val="center"/>
          </w:tcPr>
          <w:p>
            <w:pPr>
              <w:pStyle w:val="TableContents"/>
              <w:bidi w:val="0"/>
              <w:spacing w:before="0" w:after="283"/>
              <w:jc w:val="center"/>
              <w:rPr/>
            </w:pPr>
            <w:r>
              <w:rPr/>
              <w:t> </w:t>
            </w:r>
          </w:p>
        </w:tc>
        <w:tc>
          <w:tcPr>
            <w:tcW w:w="22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swaps</w:t>
            </w:r>
          </w:p>
        </w:tc>
        <w:tc>
          <w:tcPr>
            <w:tcW w:w="6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ind w:left="0" w:right="0" w:hanging="0"/>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CCEEFF" w:val="clear"/>
            <w:vAlign w:val="center"/>
          </w:tcPr>
          <w:p>
            <w:pPr>
              <w:pStyle w:val="TableContents"/>
              <w:bidi w:val="0"/>
              <w:spacing w:before="0" w:after="283"/>
              <w:jc w:val="center"/>
              <w:rPr/>
            </w:pPr>
            <w:r>
              <w:rPr/>
              <w:t> </w:t>
            </w:r>
          </w:p>
        </w:tc>
        <w:tc>
          <w:tcPr>
            <w:tcW w:w="22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FFFFFF" w:val="clear"/>
            <w:vAlign w:val="center"/>
          </w:tcPr>
          <w:p>
            <w:pPr>
              <w:pStyle w:val="TableContents"/>
              <w:bidi w:val="0"/>
              <w:spacing w:before="0" w:after="283"/>
              <w:jc w:val="center"/>
              <w:rPr/>
            </w:pPr>
            <w:r>
              <w:rPr/>
              <w:t> </w:t>
            </w:r>
          </w:p>
        </w:tc>
        <w:tc>
          <w:tcPr>
            <w:tcW w:w="228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Fair Value Level </w:t>
      </w:r>
      <w:r>
        <w:rPr>
          <w:rStyle w:val="Emphasis"/>
          <w:rFonts w:ascii="Times New Roman;Times;serif" w:hAnsi="Times New Roman;Times;serif"/>
          <w:sz w:val="20"/>
        </w:rPr>
        <w:t>2</w:t>
      </w:r>
      <w:r>
        <w:rPr>
          <w:rFonts w:ascii="Times New Roman;Times;serif" w:hAnsi="Times New Roman;Times;serif"/>
          <w:sz w:val="20"/>
        </w:rPr>
        <w:t xml:space="preserve"> assets and liabilities reflect the use of significant other observable inputs.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 xml:space="preserve">Fair value of financial instruments </w:t>
      </w:r>
      <w:r>
        <w:rPr>
          <w:rFonts w:ascii="Times New Roman;Times;serif" w:hAnsi="Times New Roman;Times;serif"/>
          <w:sz w:val="20"/>
        </w:rPr>
        <w:t xml:space="preserve">— The financial instruments that are </w:t>
      </w:r>
      <w:r>
        <w:rPr>
          <w:rStyle w:val="Emphasis"/>
          <w:rFonts w:ascii="Times New Roman;Times;serif" w:hAnsi="Times New Roman;Times;serif"/>
          <w:sz w:val="20"/>
        </w:rPr>
        <w:t>not</w:t>
      </w:r>
      <w:r>
        <w:rPr>
          <w:rFonts w:ascii="Times New Roman;Times;serif" w:hAnsi="Times New Roman;Times;serif"/>
          <w:sz w:val="20"/>
        </w:rPr>
        <w:t xml:space="preserve"> carried in our balance sheets at fair value are as follows:</w:t>
      </w:r>
    </w:p>
    <w:p>
      <w:pPr>
        <w:pStyle w:val="TextBody"/>
        <w:bidi w:val="0"/>
        <w:spacing w:before="0" w:after="0"/>
        <w:ind w:left="0" w:right="0" w:hanging="0"/>
        <w:jc w:val="left"/>
        <w:rPr/>
      </w:pPr>
      <w:r>
        <w:rPr/>
        <w:t> </w:t>
      </w:r>
    </w:p>
    <w:tbl>
      <w:tblPr>
        <w:tblW w:w="7621" w:type="dxa"/>
        <w:jc w:val="left"/>
        <w:tblInd w:w="0" w:type="dxa"/>
        <w:tblLayout w:type="fixed"/>
        <w:tblCellMar>
          <w:top w:w="0" w:type="dxa"/>
          <w:left w:w="0" w:type="dxa"/>
          <w:bottom w:w="0" w:type="dxa"/>
          <w:right w:w="0" w:type="dxa"/>
        </w:tblCellMar>
      </w:tblPr>
      <w:tblGrid>
        <w:gridCol w:w="1280"/>
        <w:gridCol w:w="60"/>
        <w:gridCol w:w="337"/>
        <w:gridCol w:w="706"/>
        <w:gridCol w:w="340"/>
        <w:gridCol w:w="60"/>
        <w:gridCol w:w="264"/>
        <w:gridCol w:w="1030"/>
        <w:gridCol w:w="60"/>
        <w:gridCol w:w="60"/>
        <w:gridCol w:w="185"/>
        <w:gridCol w:w="719"/>
        <w:gridCol w:w="60"/>
        <w:gridCol w:w="60"/>
        <w:gridCol w:w="264"/>
        <w:gridCol w:w="1030"/>
        <w:gridCol w:w="71"/>
        <w:gridCol w:w="71"/>
        <w:gridCol w:w="184"/>
        <w:gridCol w:w="720"/>
        <w:gridCol w:w="60"/>
      </w:tblGrid>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rStyle w:val="Emphasis"/>
              </w:rPr>
              <w:t> </w:t>
            </w:r>
          </w:p>
        </w:tc>
        <w:tc>
          <w:tcPr>
            <w:tcW w:w="3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 2026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2025</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3" w:type="dxa"/>
            <w:gridSpan w:val="3"/>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 Level</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Carrying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Carrying Value</w:t>
            </w:r>
          </w:p>
        </w:tc>
        <w:tc>
          <w:tcPr>
            <w:tcW w:w="71"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Fair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2</w:t>
            </w:r>
          </w:p>
        </w:tc>
        <w:tc>
          <w:tcPr>
            <w:tcW w:w="34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Foreign currency derivatives</w:t>
      </w:r>
      <w:r>
        <w:rPr>
          <w:rFonts w:ascii="Times New Roman;Times;serif" w:hAnsi="Times New Roman;Times;serif"/>
          <w:sz w:val="20"/>
        </w:rPr>
        <w:t xml:space="preserve"> — Our foreign currency derivatives include forward contracts associated with forecasted transactions, primarily involving the purchases and sales of inventory, as well as currency swaps associated with certain recorded external notes payable and intercompany loans receivable and payable. Periodically, our foreign currency derivatives also include net investment hedges of certain of our investments in foreign operations.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executed fixed-to-fixed cross-currency swaps in conjunction with the issuance of certain notes to eliminate the variability in the functional-currency-equivalent cash flows due to changes in exchange rates associated with the forecasted principal and interest payments. All of the underlying designated financial instruments have been designated as the hedged items in each respective cash flow hedge relationship, as shown in the table below. Designated as cash flow hedges of the forecasted principal and interest payments of the underlying designated financial instruments, all of the swaps economically convert the underlying designated financial instruments into the functional currency of each respective holder. The impact of the interest rate differential between the inflow and outflow rates on fixed-to-fixed cross-currency swaps is recognized during each period as a component of interest expense for hedges of external debt and as a component of other income (expense), net for hedges of intercompany debt.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following fixed-to-fixed cross-currency swaps were outstanding at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2373"/>
        <w:gridCol w:w="60"/>
        <w:gridCol w:w="920"/>
        <w:gridCol w:w="60"/>
        <w:gridCol w:w="292"/>
        <w:gridCol w:w="701"/>
        <w:gridCol w:w="60"/>
        <w:gridCol w:w="60"/>
        <w:gridCol w:w="60"/>
        <w:gridCol w:w="380"/>
        <w:gridCol w:w="185"/>
        <w:gridCol w:w="60"/>
        <w:gridCol w:w="373"/>
        <w:gridCol w:w="897"/>
        <w:gridCol w:w="66"/>
        <w:gridCol w:w="66"/>
        <w:gridCol w:w="306"/>
        <w:gridCol w:w="825"/>
        <w:gridCol w:w="66"/>
        <w:gridCol w:w="66"/>
        <w:gridCol w:w="117"/>
        <w:gridCol w:w="747"/>
        <w:gridCol w:w="205"/>
        <w:gridCol w:w="66"/>
        <w:gridCol w:w="134"/>
        <w:gridCol w:w="865"/>
        <w:gridCol w:w="195"/>
      </w:tblGrid>
      <w:tr>
        <w:trPr/>
        <w:tc>
          <w:tcPr>
            <w:tcW w:w="4966"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Underlying Financial Instrument</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799" w:type="dxa"/>
            <w:gridSpan w:val="14"/>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Derivative Financial Instrument</w:t>
            </w:r>
          </w:p>
        </w:tc>
        <w:tc>
          <w:tcPr>
            <w:tcW w:w="19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237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Type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9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Face Amount</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Rate</w:t>
            </w:r>
          </w:p>
        </w:tc>
        <w:tc>
          <w:tcPr>
            <w:tcW w:w="185"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7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Times;serif" w:hAnsi="Times New Roman;Times;serif"/>
                <w:color w:val="000000"/>
                <w:sz w:val="20"/>
              </w:rPr>
              <w:t>Notional Amount</w:t>
            </w:r>
          </w:p>
        </w:tc>
        <w:tc>
          <w:tcPr>
            <w:tcW w:w="66"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13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Traded Amount</w:t>
            </w:r>
          </w:p>
        </w:tc>
        <w:tc>
          <w:tcPr>
            <w:tcW w:w="66"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86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Inflow Rate</w:t>
            </w:r>
          </w:p>
        </w:tc>
        <w:tc>
          <w:tcPr>
            <w:tcW w:w="205"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9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Outflow Rate</w:t>
            </w:r>
          </w:p>
        </w:tc>
        <w:tc>
          <w:tcPr>
            <w:tcW w:w="19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rPr/>
        <w:tc>
          <w:tcPr>
            <w:tcW w:w="23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Luxembourg Intercompany Notes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 w:type="dxa"/>
            <w:tcBorders/>
            <w:shd w:fill="CCEEFF" w:val="clear"/>
            <w:tcMar>
              <w:bottom w:w="0" w:type="dxa"/>
            </w:tcMar>
            <w:vAlign w:val="center"/>
          </w:tcPr>
          <w:p>
            <w:pPr>
              <w:pStyle w:val="TableContents"/>
              <w:bidi w:val="0"/>
              <w:spacing w:before="0" w:after="283"/>
              <w:ind w:left="0" w:right="0" w:hanging="0"/>
              <w:jc w:val="left"/>
              <w:rPr/>
            </w:pPr>
            <w:r>
              <w:rPr/>
              <w:t>€</w:t>
            </w:r>
          </w:p>
        </w:tc>
        <w:tc>
          <w:tcPr>
            <w:tcW w:w="7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3" w:type="dxa"/>
            <w:tcBorders/>
            <w:shd w:fill="CCEEFF" w:val="clear"/>
            <w:tcMar>
              <w:bottom w:w="0" w:type="dxa"/>
            </w:tcMar>
            <w:vAlign w:val="center"/>
          </w:tcPr>
          <w:p>
            <w:pPr>
              <w:pStyle w:val="TableContents"/>
              <w:bidi w:val="0"/>
              <w:spacing w:before="0" w:after="283"/>
              <w:ind w:left="0" w:right="0" w:hanging="0"/>
              <w:jc w:val="left"/>
              <w:rPr/>
            </w:pPr>
            <w:r>
              <w:rPr/>
              <w:t>€</w:t>
            </w:r>
          </w:p>
        </w:tc>
        <w:tc>
          <w:tcPr>
            <w:tcW w:w="8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3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8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designated swaps are expected to be highly effective in offsetting the corresponding currency-based changes in cash outflows related to the underlying designated financial instruments. Based on our qualitative assessment that the critical terms of the underlying designated financial instruments and the associated swaps match and that all other required criteria have been met, we do </w:t>
      </w:r>
      <w:r>
        <w:rPr>
          <w:rStyle w:val="Emphasis"/>
          <w:rFonts w:ascii="Times New Roman;Times;serif" w:hAnsi="Times New Roman;Times;serif"/>
          <w:sz w:val="20"/>
        </w:rPr>
        <w:t>not</w:t>
      </w:r>
      <w:r>
        <w:rPr>
          <w:rFonts w:ascii="Times New Roman;Times;serif" w:hAnsi="Times New Roman;Times;serif"/>
          <w:sz w:val="20"/>
        </w:rPr>
        <w:t xml:space="preserve"> expect to incur any ineffectiveness. As effective cash flow hedges, changes in the fair value of the swaps will be recorded in OCI during each period. Additionally, to the extent the swaps remain effective, the appropriate portion of AOCI will be reclassified to earnings each period as an offset to the foreign exchange gain or loss resulting from the remeasurement of the underlying designated financial instruments. To the extent the swaps are </w:t>
      </w:r>
      <w:r>
        <w:rPr>
          <w:rStyle w:val="Emphasis"/>
          <w:rFonts w:ascii="Times New Roman;Times;serif" w:hAnsi="Times New Roman;Times;serif"/>
          <w:sz w:val="20"/>
        </w:rPr>
        <w:t>no</w:t>
      </w:r>
      <w:r>
        <w:rPr>
          <w:rFonts w:ascii="Times New Roman;Times;serif" w:hAnsi="Times New Roman;Times;serif"/>
          <w:sz w:val="20"/>
        </w:rPr>
        <w:t xml:space="preserve"> longer effective, changes in their fair values will be recorded in earnings. </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total notional amount of outstanding foreign currency forward contracts, involving the exchange of various currencies, was $698 at </w:t>
      </w:r>
      <w:r>
        <w:rPr>
          <w:rStyle w:val="Emphasis"/>
          <w:rFonts w:ascii="Times New Roman;Times;serif" w:hAnsi="Times New Roman;Times;serif"/>
          <w:sz w:val="20"/>
        </w:rPr>
        <w:t>June 30, 2026</w:t>
      </w:r>
      <w:r>
        <w:rPr>
          <w:rFonts w:ascii="Times New Roman;Times;serif" w:hAnsi="Times New Roman;Times;serif"/>
          <w:sz w:val="20"/>
        </w:rPr>
        <w:t xml:space="preserve"> and $898 at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The total notional amount of outstanding foreign currency swaps, including the fixed-to-fixed cross-currency swaps, was $318 at </w:t>
      </w:r>
      <w:r>
        <w:rPr>
          <w:rStyle w:val="Emphasis"/>
          <w:rFonts w:ascii="Times New Roman;Times;serif" w:hAnsi="Times New Roman;Times;serif"/>
          <w:sz w:val="20"/>
        </w:rPr>
        <w:t>June 30, 2026</w:t>
      </w:r>
      <w:r>
        <w:rPr>
          <w:rFonts w:ascii="Times New Roman;Times;serif" w:hAnsi="Times New Roman;Times;serif"/>
          <w:sz w:val="20"/>
        </w:rPr>
        <w:t xml:space="preserve"> and $712 at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following currency derivatives were outstanding at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0"/>
        <w:gridCol w:w="60"/>
        <w:gridCol w:w="4243"/>
        <w:gridCol w:w="60"/>
        <w:gridCol w:w="258"/>
        <w:gridCol w:w="692"/>
        <w:gridCol w:w="88"/>
        <w:gridCol w:w="88"/>
        <w:gridCol w:w="315"/>
        <w:gridCol w:w="845"/>
        <w:gridCol w:w="88"/>
        <w:gridCol w:w="88"/>
        <w:gridCol w:w="184"/>
        <w:gridCol w:w="715"/>
        <w:gridCol w:w="60"/>
        <w:gridCol w:w="60"/>
        <w:gridCol w:w="811"/>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Notional Amount (U.S. Dollar Equivalent)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rStyle w:val="Emphasis"/>
              </w:rPr>
              <w:t> </w:t>
            </w:r>
          </w:p>
        </w:tc>
      </w:tr>
      <w:tr>
        <w:trPr/>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Functional Currency</w:t>
            </w:r>
          </w:p>
        </w:tc>
        <w:tc>
          <w:tcPr>
            <w:tcW w:w="60" w:type="dxa"/>
            <w:tcBorders/>
            <w:shd w:fill="FFFFFF" w:val="clear"/>
            <w:vAlign w:val="center"/>
          </w:tcPr>
          <w:p>
            <w:pPr>
              <w:pStyle w:val="TableContents"/>
              <w:bidi w:val="0"/>
              <w:spacing w:before="0" w:after="283"/>
              <w:ind w:left="0" w:right="0" w:hanging="0"/>
              <w:jc w:val="left"/>
              <w:rPr/>
            </w:pPr>
            <w:r>
              <w:rPr/>
              <w:t> </w:t>
            </w:r>
          </w:p>
        </w:tc>
        <w:tc>
          <w:tcPr>
            <w:tcW w:w="424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Traded Currency</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Designated</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Undesignated</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Maturity</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ind w:left="0" w:right="0" w:hanging="0"/>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Canadian dollar, Mexican peso</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Mar-2027</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w:t>
            </w:r>
          </w:p>
        </w:tc>
        <w:tc>
          <w:tcPr>
            <w:tcW w:w="60" w:type="dxa"/>
            <w:tcBorders/>
            <w:shd w:fill="FFFFFF" w:val="clear"/>
            <w:vAlign w:val="center"/>
          </w:tcPr>
          <w:p>
            <w:pPr>
              <w:pStyle w:val="TableContents"/>
              <w:bidi w:val="0"/>
              <w:spacing w:before="0" w:after="283"/>
              <w:ind w:left="0" w:right="0" w:hanging="0"/>
              <w:jc w:val="left"/>
              <w:rPr/>
            </w:pPr>
            <w:r>
              <w:rPr/>
              <w:t> </w:t>
            </w:r>
          </w:p>
        </w:tc>
        <w:tc>
          <w:tcPr>
            <w:tcW w:w="424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 Australian dollar, British pound, Hungarian forint, Mexican peso, Swedish krona</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Sep-2027</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Indian rupee</w:t>
            </w:r>
          </w:p>
        </w:tc>
        <w:tc>
          <w:tcPr>
            <w:tcW w:w="60" w:type="dxa"/>
            <w:tcBorders/>
            <w:shd w:fill="CCEEFF" w:val="clear"/>
            <w:vAlign w:val="center"/>
          </w:tcPr>
          <w:p>
            <w:pPr>
              <w:pStyle w:val="TableContents"/>
              <w:bidi w:val="0"/>
              <w:spacing w:before="0" w:after="283"/>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 euro, British pound</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rStyle w:val="Emphasis"/>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Mar-2027</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Brazilian real</w:t>
            </w:r>
          </w:p>
        </w:tc>
        <w:tc>
          <w:tcPr>
            <w:tcW w:w="60" w:type="dxa"/>
            <w:tcBorders/>
            <w:shd w:fill="FFFFFF" w:val="clear"/>
            <w:vAlign w:val="center"/>
          </w:tcPr>
          <w:p>
            <w:pPr>
              <w:pStyle w:val="TableContents"/>
              <w:bidi w:val="0"/>
              <w:spacing w:before="0" w:after="283"/>
              <w:ind w:left="0" w:right="0" w:hanging="0"/>
              <w:jc w:val="left"/>
              <w:rPr/>
            </w:pPr>
            <w:r>
              <w:rPr/>
              <w:t> </w:t>
            </w:r>
          </w:p>
        </w:tc>
        <w:tc>
          <w:tcPr>
            <w:tcW w:w="424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 euro</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Dec-2026</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African rand</w:t>
            </w:r>
          </w:p>
        </w:tc>
        <w:tc>
          <w:tcPr>
            <w:tcW w:w="60" w:type="dxa"/>
            <w:tcBorders/>
            <w:shd w:fill="CCEEFF" w:val="clear"/>
            <w:vAlign w:val="center"/>
          </w:tcPr>
          <w:p>
            <w:pPr>
              <w:pStyle w:val="TableContents"/>
              <w:bidi w:val="0"/>
              <w:spacing w:before="0" w:after="283"/>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 euro, Thai baht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rStyle w:val="Emphasis"/>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Nov-2026</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Canadian dollar</w:t>
            </w:r>
          </w:p>
        </w:tc>
        <w:tc>
          <w:tcPr>
            <w:tcW w:w="60" w:type="dxa"/>
            <w:tcBorders/>
            <w:shd w:fill="FFFFFF" w:val="clear"/>
            <w:vAlign w:val="center"/>
          </w:tcPr>
          <w:p>
            <w:pPr>
              <w:pStyle w:val="TableContents"/>
              <w:bidi w:val="0"/>
              <w:spacing w:before="0" w:after="0"/>
              <w:ind w:left="0" w:right="0" w:hanging="0"/>
              <w:jc w:val="left"/>
              <w:rPr/>
            </w:pPr>
            <w:r>
              <w:rPr/>
              <w:t> </w:t>
            </w:r>
          </w:p>
        </w:tc>
        <w:tc>
          <w:tcPr>
            <w:tcW w:w="424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w:t>
            </w:r>
          </w:p>
        </w:tc>
        <w:tc>
          <w:tcPr>
            <w:tcW w:w="60" w:type="dxa"/>
            <w:tcBorders/>
            <w:shd w:fill="FFFFFF" w:val="clear"/>
            <w:vAlign w:val="center"/>
          </w:tcPr>
          <w:p>
            <w:pPr>
              <w:pStyle w:val="TableContents"/>
              <w:bidi w:val="0"/>
              <w:spacing w:before="0" w:after="0"/>
              <w:ind w:left="0" w:right="0" w:hanging="0"/>
              <w:jc w:val="left"/>
              <w:rPr/>
            </w:pPr>
            <w:r>
              <w:rPr/>
              <w:t> </w:t>
            </w:r>
          </w:p>
        </w:tc>
        <w:tc>
          <w:tcPr>
            <w:tcW w:w="25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8"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8"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Aug-2026</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Thai baht</w:t>
            </w:r>
          </w:p>
        </w:tc>
        <w:tc>
          <w:tcPr>
            <w:tcW w:w="60" w:type="dxa"/>
            <w:tcBorders/>
            <w:shd w:fill="CCEEFF" w:val="clear"/>
            <w:vAlign w:val="center"/>
          </w:tcPr>
          <w:p>
            <w:pPr>
              <w:pStyle w:val="TableContents"/>
              <w:bidi w:val="0"/>
              <w:spacing w:before="0" w:after="283"/>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rStyle w:val="Emphasis"/>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Jul-2026</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British pound</w:t>
            </w:r>
          </w:p>
        </w:tc>
        <w:tc>
          <w:tcPr>
            <w:tcW w:w="60" w:type="dxa"/>
            <w:tcBorders/>
            <w:shd w:fill="FFFFFF" w:val="clear"/>
            <w:vAlign w:val="center"/>
          </w:tcPr>
          <w:p>
            <w:pPr>
              <w:pStyle w:val="TableContents"/>
              <w:bidi w:val="0"/>
              <w:spacing w:before="0" w:after="0"/>
              <w:ind w:left="0" w:right="0" w:hanging="0"/>
              <w:jc w:val="left"/>
              <w:rPr/>
            </w:pPr>
            <w:r>
              <w:rPr/>
              <w:t> </w:t>
            </w:r>
          </w:p>
        </w:tc>
        <w:tc>
          <w:tcPr>
            <w:tcW w:w="424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 euro</w:t>
            </w:r>
          </w:p>
        </w:tc>
        <w:tc>
          <w:tcPr>
            <w:tcW w:w="60" w:type="dxa"/>
            <w:tcBorders/>
            <w:shd w:fill="FFFFFF" w:val="clear"/>
            <w:vAlign w:val="center"/>
          </w:tcPr>
          <w:p>
            <w:pPr>
              <w:pStyle w:val="TableContents"/>
              <w:bidi w:val="0"/>
              <w:spacing w:before="0" w:after="0"/>
              <w:ind w:left="0" w:right="0" w:hanging="0"/>
              <w:jc w:val="left"/>
              <w:rPr/>
            </w:pPr>
            <w:r>
              <w:rPr/>
              <w:t> </w:t>
            </w:r>
          </w:p>
        </w:tc>
        <w:tc>
          <w:tcPr>
            <w:tcW w:w="25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8"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8"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Sep-2026</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Mexican peso</w:t>
            </w:r>
          </w:p>
        </w:tc>
        <w:tc>
          <w:tcPr>
            <w:tcW w:w="60" w:type="dxa"/>
            <w:tcBorders/>
            <w:shd w:fill="CCEEFF" w:val="clear"/>
            <w:vAlign w:val="center"/>
          </w:tcPr>
          <w:p>
            <w:pPr>
              <w:pStyle w:val="TableContents"/>
              <w:bidi w:val="0"/>
              <w:spacing w:before="0" w:after="0"/>
              <w:ind w:left="0" w:right="0" w:hanging="0"/>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U.S. dollar</w:t>
            </w:r>
          </w:p>
        </w:tc>
        <w:tc>
          <w:tcPr>
            <w:tcW w:w="60"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pPr>
            <w:r>
              <w:rPr>
                <w:rStyle w:val="Emphasis"/>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8"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Jul-2026</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Swedish krona</w:t>
            </w:r>
          </w:p>
        </w:tc>
        <w:tc>
          <w:tcPr>
            <w:tcW w:w="60" w:type="dxa"/>
            <w:tcBorders/>
            <w:shd w:fill="FFFFFF" w:val="clear"/>
            <w:vAlign w:val="center"/>
          </w:tcPr>
          <w:p>
            <w:pPr>
              <w:pStyle w:val="TableContents"/>
              <w:bidi w:val="0"/>
              <w:spacing w:before="0" w:after="283"/>
              <w:jc w:val="left"/>
              <w:rPr/>
            </w:pPr>
            <w:r>
              <w:rPr/>
              <w:t> </w:t>
            </w:r>
          </w:p>
        </w:tc>
        <w:tc>
          <w:tcPr>
            <w:tcW w:w="4243"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euro</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rStyle w:val="Emphasis"/>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Jul-2026</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forward contracts</w:t>
            </w:r>
          </w:p>
        </w:tc>
        <w:tc>
          <w:tcPr>
            <w:tcW w:w="60" w:type="dxa"/>
            <w:tcBorders/>
            <w:shd w:fill="CCEEFF" w:val="clear"/>
            <w:vAlign w:val="center"/>
          </w:tcPr>
          <w:p>
            <w:pPr>
              <w:pStyle w:val="TableContents"/>
              <w:bidi w:val="0"/>
              <w:spacing w:before="0" w:after="283"/>
              <w:jc w:val="left"/>
              <w:rPr/>
            </w:pPr>
            <w:r>
              <w:rPr/>
              <w:t> </w:t>
            </w:r>
          </w:p>
        </w:tc>
        <w:tc>
          <w:tcPr>
            <w:tcW w:w="4243"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5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1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1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left"/>
              <w:rPr/>
            </w:pPr>
            <w:r>
              <w:rPr>
                <w:rStyle w:val="Emphasis"/>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ind w:left="0" w:right="0" w:hanging="0"/>
              <w:jc w:val="left"/>
              <w:rPr/>
            </w:pPr>
            <w:r>
              <w:rPr/>
              <w:t> </w:t>
            </w:r>
          </w:p>
        </w:tc>
        <w:tc>
          <w:tcPr>
            <w:tcW w:w="4243"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euro</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Nov-2027</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currency swaps</w:t>
            </w:r>
          </w:p>
        </w:tc>
        <w:tc>
          <w:tcPr>
            <w:tcW w:w="60" w:type="dxa"/>
            <w:tcBorders/>
            <w:shd w:fill="FFFFFF" w:val="clear"/>
            <w:vAlign w:val="center"/>
          </w:tcPr>
          <w:p>
            <w:pPr>
              <w:pStyle w:val="TableContents"/>
              <w:bidi w:val="0"/>
              <w:spacing w:before="0" w:after="283"/>
              <w:jc w:val="left"/>
              <w:rPr/>
            </w:pPr>
            <w:r>
              <w:rPr/>
              <w:t> </w:t>
            </w:r>
          </w:p>
        </w:tc>
        <w:tc>
          <w:tcPr>
            <w:tcW w:w="424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5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9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31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8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1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rStyle w:val="Emphasis"/>
              </w:rPr>
              <w:t> </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currency derivatives</w:t>
            </w:r>
          </w:p>
        </w:tc>
        <w:tc>
          <w:tcPr>
            <w:tcW w:w="60" w:type="dxa"/>
            <w:tcBorders/>
            <w:shd w:fill="CCEEFF" w:val="clear"/>
            <w:vAlign w:val="center"/>
          </w:tcPr>
          <w:p>
            <w:pPr>
              <w:pStyle w:val="TableContents"/>
              <w:bidi w:val="0"/>
              <w:spacing w:before="0" w:after="283"/>
              <w:jc w:val="left"/>
              <w:rPr/>
            </w:pPr>
            <w:r>
              <w:rPr/>
              <w:t> </w:t>
            </w:r>
          </w:p>
        </w:tc>
        <w:tc>
          <w:tcPr>
            <w:tcW w:w="4243"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i/>
          <w:sz w:val="20"/>
        </w:rPr>
        <w:t>Designated cash flow hedges</w:t>
      </w:r>
      <w:r>
        <w:rPr>
          <w:rFonts w:ascii="Times New Roman;Times;serif" w:hAnsi="Times New Roman;Times;serif"/>
          <w:sz w:val="20"/>
        </w:rPr>
        <w:t xml:space="preserve"> — With respect to contracts designated as cash flow hedges, changes in fair value during the period in which the contracts remain outstanding are reported in OCI to the extent such contracts remain effective. Effectiveness is measured by using regression analysis to determine the degree of correlation between the change in the fair value of the derivative instrument and the change in the associated foreign currency exchange rates. Changes in the fair value of contracts </w:t>
      </w:r>
      <w:r>
        <w:rPr>
          <w:rStyle w:val="Emphasis"/>
          <w:rFonts w:ascii="Times New Roman;Times;serif" w:hAnsi="Times New Roman;Times;serif"/>
          <w:sz w:val="20"/>
        </w:rPr>
        <w:t>not</w:t>
      </w:r>
      <w:r>
        <w:rPr>
          <w:rFonts w:ascii="Times New Roman;Times;serif" w:hAnsi="Times New Roman;Times;serif"/>
          <w:sz w:val="20"/>
        </w:rPr>
        <w:t xml:space="preserve"> designated as cash flow hedges or as net investment hedges are recognized in other income (expense), net in the period in which the changes occur. Realized gains and losses from currency-related forward contracts associated with forecasted transactions or from other derivative instruments, including those that have been designated as cash flow hedges and those that have </w:t>
      </w:r>
      <w:r>
        <w:rPr>
          <w:rStyle w:val="Emphasis"/>
          <w:rFonts w:ascii="Times New Roman;Times;serif" w:hAnsi="Times New Roman;Times;serif"/>
          <w:sz w:val="20"/>
        </w:rPr>
        <w:t>not</w:t>
      </w:r>
      <w:r>
        <w:rPr>
          <w:rFonts w:ascii="Times New Roman;Times;serif" w:hAnsi="Times New Roman;Times;serif"/>
          <w:sz w:val="20"/>
        </w:rPr>
        <w:t xml:space="preserve"> been designated, are recognized in the same line item in the consolidated statement of operations in which the underlying forecasted transaction or other hedged item is recorded. Accordingly, amounts are potentially recorded in sales, cost of sales or, in certain circumstances, other income (expense), net.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The following table provides a summary of deferred gains (losses) reported in AOCI as well as the amount expected to be reclassified to income in </w:t>
      </w:r>
      <w:r>
        <w:rPr>
          <w:rStyle w:val="Emphasis"/>
          <w:rFonts w:ascii="Times New Roman;Times;serif" w:hAnsi="Times New Roman;Times;serif"/>
          <w:sz w:val="20"/>
        </w:rPr>
        <w:t>one</w:t>
      </w:r>
      <w:r>
        <w:rPr>
          <w:rFonts w:ascii="Times New Roman;Times;serif" w:hAnsi="Times New Roman;Times;serif"/>
          <w:sz w:val="20"/>
        </w:rPr>
        <w:t xml:space="preserve"> year or less: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86"/>
        <w:gridCol w:w="60"/>
        <w:gridCol w:w="392"/>
        <w:gridCol w:w="714"/>
        <w:gridCol w:w="106"/>
        <w:gridCol w:w="106"/>
        <w:gridCol w:w="537"/>
        <w:gridCol w:w="989"/>
        <w:gridCol w:w="106"/>
        <w:gridCol w:w="106"/>
        <w:gridCol w:w="1839"/>
        <w:gridCol w:w="3396"/>
        <w:gridCol w:w="68"/>
      </w:tblGrid>
      <w:tr>
        <w:trPr/>
        <w:tc>
          <w:tcPr>
            <w:tcW w:w="17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Deferred Gain (Loss) in AOCI</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 2026</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2025</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23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color w:val="000000"/>
                <w:sz w:val="20"/>
              </w:rPr>
              <w:t>Gain (loss) expected to be reclassified into income in one year or less</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8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8" w:type="dxa"/>
            <w:tcBorders/>
            <w:shd w:fill="CCEEFF" w:val="clear"/>
            <w:vAlign w:val="center"/>
          </w:tcPr>
          <w:p>
            <w:pPr>
              <w:pStyle w:val="TableContents"/>
              <w:bidi w:val="0"/>
              <w:spacing w:before="0" w:after="283"/>
              <w:ind w:left="0" w:right="0" w:hanging="0"/>
              <w:jc w:val="left"/>
              <w:rPr/>
            </w:pPr>
            <w:r>
              <w:rPr/>
              <w:t> </w:t>
            </w:r>
          </w:p>
        </w:tc>
      </w:tr>
      <w:tr>
        <w:trPr/>
        <w:tc>
          <w:tcPr>
            <w:tcW w:w="178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8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96"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r>
      <w:tr>
        <w:trPr/>
        <w:tc>
          <w:tcPr>
            <w:tcW w:w="1786"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summary of the location and amount of gains or losses recognized in the consolidated statement of operations associated with cash flow hedging relationships: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56"/>
        <w:gridCol w:w="60"/>
        <w:gridCol w:w="141"/>
        <w:gridCol w:w="548"/>
        <w:gridCol w:w="90"/>
        <w:gridCol w:w="67"/>
        <w:gridCol w:w="141"/>
        <w:gridCol w:w="548"/>
        <w:gridCol w:w="80"/>
        <w:gridCol w:w="60"/>
        <w:gridCol w:w="131"/>
        <w:gridCol w:w="510"/>
        <w:gridCol w:w="84"/>
        <w:gridCol w:w="63"/>
        <w:gridCol w:w="131"/>
        <w:gridCol w:w="510"/>
        <w:gridCol w:w="85"/>
      </w:tblGrid>
      <w:tr>
        <w:trPr/>
        <w:tc>
          <w:tcPr>
            <w:tcW w:w="6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5" w:type="dxa"/>
            <w:tcBorders/>
            <w:shd w:fill="FFFF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9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 as Cash Flow Hedges</w:t>
            </w:r>
          </w:p>
        </w:tc>
        <w:tc>
          <w:tcPr>
            <w:tcW w:w="60" w:type="dxa"/>
            <w:tcBorders/>
            <w:shd w:fill="FFFFFF" w:val="clear"/>
            <w:vAlign w:val="center"/>
          </w:tcPr>
          <w:p>
            <w:pPr>
              <w:pStyle w:val="TableContents"/>
              <w:bidi w:val="0"/>
              <w:spacing w:before="0" w:after="283"/>
              <w:ind w:left="0" w:right="0" w:hanging="0"/>
              <w:jc w:val="left"/>
              <w:rPr/>
            </w:pPr>
            <w:r>
              <w:rPr/>
              <w:t> </w:t>
            </w:r>
          </w:p>
        </w:tc>
        <w:tc>
          <w:tcPr>
            <w:tcW w:w="6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of income and expense line items presented in the consolidated statement of operations in which the effects of cash flow hedges are recorded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360" w:right="0" w:hanging="0"/>
              <w:jc w:val="left"/>
              <w:rPr/>
            </w:pPr>
            <w:r>
              <w:rPr/>
              <w:t> </w:t>
            </w:r>
          </w:p>
        </w:tc>
      </w:tr>
      <w:tr>
        <w:trPr/>
        <w:tc>
          <w:tcPr>
            <w:tcW w:w="69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85" w:type="dxa"/>
            <w:tcBorders/>
            <w:shd w:fill="FFFFFF" w:val="clear"/>
            <w:vAlign w:val="center"/>
          </w:tcPr>
          <w:p>
            <w:pPr>
              <w:pStyle w:val="TableContents"/>
              <w:bidi w:val="0"/>
              <w:spacing w:before="0" w:after="283"/>
              <w:ind w:left="360" w:right="0" w:hanging="0"/>
              <w:jc w:val="left"/>
              <w:rPr/>
            </w:pPr>
            <w:r>
              <w:rPr/>
              <w:t> </w:t>
            </w:r>
          </w:p>
        </w:tc>
      </w:tr>
      <w:tr>
        <w:trPr/>
        <w:tc>
          <w:tcPr>
            <w:tcW w:w="695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85" w:type="dxa"/>
            <w:tcBorders/>
            <w:shd w:fill="CCEEFF" w:val="clear"/>
            <w:vAlign w:val="center"/>
          </w:tcPr>
          <w:p>
            <w:pPr>
              <w:pStyle w:val="TableContents"/>
              <w:bidi w:val="0"/>
              <w:spacing w:before="0" w:after="283"/>
              <w:ind w:left="360" w:right="0" w:hanging="0"/>
              <w:jc w:val="left"/>
              <w:rPr/>
            </w:pPr>
            <w:r>
              <w:rPr/>
              <w:t> </w:t>
            </w:r>
          </w:p>
        </w:tc>
      </w:tr>
      <w:tr>
        <w:trPr/>
        <w:tc>
          <w:tcPr>
            <w:tcW w:w="69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9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or loss on cash flow hedging relationships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69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360" w:right="0" w:hanging="0"/>
              <w:jc w:val="left"/>
              <w:rPr/>
            </w:pPr>
            <w:r>
              <w:rPr/>
              <w:t> </w:t>
            </w:r>
          </w:p>
        </w:tc>
      </w:tr>
      <w:tr>
        <w:trPr/>
        <w:tc>
          <w:tcPr>
            <w:tcW w:w="695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(gain) loss reclassified from AOCI into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540" w:right="0" w:hanging="0"/>
              <w:jc w:val="left"/>
              <w:rPr/>
            </w:pPr>
            <w:r>
              <w:rPr/>
              <w:t> </w:t>
            </w:r>
          </w:p>
        </w:tc>
      </w:tr>
      <w:tr>
        <w:trPr/>
        <w:tc>
          <w:tcPr>
            <w:tcW w:w="695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5" w:type="dxa"/>
            <w:tcBorders/>
            <w:shd w:fill="FFFFFF" w:val="clear"/>
            <w:vAlign w:val="center"/>
          </w:tcPr>
          <w:p>
            <w:pPr>
              <w:pStyle w:val="TableContents"/>
              <w:bidi w:val="0"/>
              <w:spacing w:before="0" w:after="283"/>
              <w:ind w:left="540" w:right="0" w:hanging="0"/>
              <w:jc w:val="left"/>
              <w:rPr/>
            </w:pPr>
            <w:r>
              <w:rPr/>
              <w:t> </w:t>
            </w:r>
          </w:p>
        </w:tc>
      </w:tr>
      <w:tr>
        <w:trPr/>
        <w:tc>
          <w:tcPr>
            <w:tcW w:w="6956"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5" w:type="dxa"/>
            <w:tcBorders/>
            <w:shd w:fill="CCEEFF" w:val="clear"/>
            <w:vAlign w:val="center"/>
          </w:tcPr>
          <w:p>
            <w:pPr>
              <w:pStyle w:val="TableContents"/>
              <w:bidi w:val="0"/>
              <w:spacing w:before="0" w:after="283"/>
              <w:ind w:left="180" w:right="0" w:hanging="0"/>
              <w:jc w:val="left"/>
              <w:rPr/>
            </w:pPr>
            <w:r>
              <w:rPr/>
              <w:t> </w:t>
            </w:r>
          </w:p>
        </w:tc>
      </w:tr>
      <w:tr>
        <w:trPr/>
        <w:tc>
          <w:tcPr>
            <w:tcW w:w="69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Cross-currency swaps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360" w:right="0" w:hanging="0"/>
              <w:jc w:val="left"/>
              <w:rPr/>
            </w:pPr>
            <w:r>
              <w:rPr/>
              <w:t> </w:t>
            </w:r>
          </w:p>
        </w:tc>
      </w:tr>
      <w:tr>
        <w:trPr/>
        <w:tc>
          <w:tcPr>
            <w:tcW w:w="695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(gain) loss reclassified from AOCI into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540" w:right="0" w:hanging="0"/>
              <w:jc w:val="left"/>
              <w:rPr/>
            </w:pPr>
            <w:r>
              <w:rPr/>
              <w:t> </w:t>
            </w:r>
          </w:p>
        </w:tc>
      </w:tr>
      <w:tr>
        <w:trPr/>
        <w:tc>
          <w:tcPr>
            <w:tcW w:w="695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amounts reclassified from AOCI into income for the cross-currency swaps represent an offset to a foreign exchange loss on our foreign currency-denominated intercompany and external debt instruments.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Certain of our hedges of forecasted transactions have </w:t>
      </w:r>
      <w:r>
        <w:rPr>
          <w:rStyle w:val="Emphasis"/>
          <w:rFonts w:ascii="Times New Roman;Times;serif" w:hAnsi="Times New Roman;Times;serif"/>
          <w:sz w:val="20"/>
        </w:rPr>
        <w:t>not</w:t>
      </w:r>
      <w:r>
        <w:rPr>
          <w:rFonts w:ascii="Times New Roman;Times;serif" w:hAnsi="Times New Roman;Times;serif"/>
          <w:sz w:val="20"/>
        </w:rPr>
        <w:t xml:space="preserve"> formally been designated as cash flow hedges. As undesignated forward contracts, the changes in the fair value of such contracts are included in earnings for the duration of the outstanding forward contract. Any realized gain or loss on the settlement of such contracts is recognized in the same period and in the same line item in the consolidated statement of operations as the underlying transaction. The following table provides a summary of the location and amount of gains or losses recognized in the consolidated statement of operations associated with undesignated hedging relationships.</w:t>
      </w:r>
    </w:p>
    <w:p>
      <w:pPr>
        <w:pStyle w:val="TextBody"/>
        <w:bidi w:val="0"/>
        <w:spacing w:before="0" w:after="0"/>
        <w:ind w:left="0" w:right="0" w:hanging="0"/>
        <w:jc w:val="left"/>
        <w:rPr/>
      </w:pPr>
      <w:r>
        <w:rPr/>
        <w:t> </w:t>
      </w:r>
    </w:p>
    <w:tbl>
      <w:tblPr>
        <w:tblW w:w="7701" w:type="dxa"/>
        <w:jc w:val="left"/>
        <w:tblInd w:w="0" w:type="dxa"/>
        <w:tblLayout w:type="fixed"/>
        <w:tblCellMar>
          <w:top w:w="0" w:type="dxa"/>
          <w:left w:w="0" w:type="dxa"/>
          <w:bottom w:w="0" w:type="dxa"/>
          <w:right w:w="0" w:type="dxa"/>
        </w:tblCellMar>
      </w:tblPr>
      <w:tblGrid>
        <w:gridCol w:w="4205"/>
        <w:gridCol w:w="60"/>
        <w:gridCol w:w="273"/>
        <w:gridCol w:w="273"/>
        <w:gridCol w:w="131"/>
        <w:gridCol w:w="131"/>
        <w:gridCol w:w="273"/>
        <w:gridCol w:w="633"/>
        <w:gridCol w:w="80"/>
        <w:gridCol w:w="60"/>
        <w:gridCol w:w="217"/>
        <w:gridCol w:w="321"/>
        <w:gridCol w:w="139"/>
        <w:gridCol w:w="104"/>
        <w:gridCol w:w="217"/>
        <w:gridCol w:w="504"/>
        <w:gridCol w:w="8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5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recognized in income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42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3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Net investment hedges</w:t>
      </w:r>
      <w:r>
        <w:rPr>
          <w:rFonts w:ascii="Times New Roman;Times;serif" w:hAnsi="Times New Roman;Times;serif"/>
          <w:sz w:val="20"/>
        </w:rPr>
        <w:t xml:space="preserve"> — We periodically designate derivative contracts or underlying non-derivative financial instruments as net investment hedges. With respect to contracts designated as net investment hedges, we apply the forward method, but for non-derivative financial instruments designated as net investment hedges, we apply the spot method. Under both methods, we report changes in fair value in the cumulative translation adjustment (CTA) component of OCI during the period in which the contracts remain outstanding to the extent such contracts and non-derivative financial instruments remain effective.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we entered into foreign currency forwards with a notional value of $100 that we designated as a net investment hedge of the foreign currency exposure related to a China renminbi denominated subsidiary. These forwards matured in </w:t>
      </w:r>
      <w:r>
        <w:rPr>
          <w:rStyle w:val="Emphasis"/>
          <w:rFonts w:ascii="Times New Roman;Times;serif" w:hAnsi="Times New Roman;Times;serif"/>
          <w:sz w:val="20"/>
        </w:rPr>
        <w:t xml:space="preserve">September 2025. </w:t>
      </w:r>
      <w:r>
        <w:rPr>
          <w:rFonts w:ascii="Times New Roman;Times;serif" w:hAnsi="Times New Roman;Times;serif"/>
          <w:sz w:val="20"/>
        </w:rPr>
        <w:t xml:space="preserve">During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we entered into foreign currency forwards with a notional value of $122 that we designated as a net investment hedge of the foreign currency exposure related to a euro denominated subsidiary. These forwards matured in </w:t>
      </w:r>
      <w:r>
        <w:rPr>
          <w:rStyle w:val="Emphasis"/>
          <w:rFonts w:ascii="Times New Roman;Times;serif" w:hAnsi="Times New Roman;Times;serif"/>
          <w:sz w:val="20"/>
        </w:rPr>
        <w:t>November 2025.</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fn13"/>
      <w:bookmarkEnd w:id="19"/>
      <w:r>
        <w:rPr>
          <w:rFonts w:ascii="Times New Roman;Times;serif" w:hAnsi="Times New Roman;Times;serif"/>
          <w:b/>
          <w:sz w:val="20"/>
        </w:rPr>
        <w:t xml:space="preserve">Note </w:t>
      </w:r>
      <w:r>
        <w:rPr>
          <w:rStyle w:val="Emphasis"/>
          <w:rFonts w:ascii="Times New Roman;Times;serif" w:hAnsi="Times New Roman;Times;serif"/>
          <w:b/>
          <w:sz w:val="20"/>
        </w:rPr>
        <w:t>12.</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Environmental liabilities</w:t>
      </w:r>
      <w:r>
        <w:rPr>
          <w:rFonts w:ascii="Times New Roman;Times;serif" w:hAnsi="Times New Roman;Times;serif"/>
          <w:sz w:val="20"/>
        </w:rPr>
        <w:t xml:space="preserve"> — Accrued environmental liabilities were $12 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$14 at </w:t>
      </w:r>
      <w:r>
        <w:rPr>
          <w:rStyle w:val="Emphasis"/>
          <w:rFonts w:ascii="Times New Roman;Times;serif" w:hAnsi="Times New Roman;Times;serif"/>
          <w:sz w:val="20"/>
        </w:rPr>
        <w:t xml:space="preserve"> 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We consider the most probable method of remediation, current laws and regulations and existing technology in estimating our environmental liabilities.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Other legal matters</w:t>
      </w:r>
      <w:r>
        <w:rPr>
          <w:rFonts w:ascii="Times New Roman;Times;serif" w:hAnsi="Times New Roman;Times;serif"/>
          <w:sz w:val="20"/>
        </w:rPr>
        <w:t xml:space="preserve"> — We are subject to various pending or threatened legal proceedings arising out of the normal course of business or operations. In view of the inherent difficulty of predicting the outcome of such matters, we cannot state the eventual outcome of these matters. However, based on current knowledge and after consultation with legal counsel, we believe that any liabilities that </w:t>
      </w:r>
      <w:r>
        <w:rPr>
          <w:rStyle w:val="Emphasis"/>
          <w:rFonts w:ascii="Times New Roman;Times;serif" w:hAnsi="Times New Roman;Times;serif"/>
          <w:sz w:val="20"/>
        </w:rPr>
        <w:t xml:space="preserve">may </w:t>
      </w:r>
      <w:r>
        <w:rPr>
          <w:rFonts w:ascii="Times New Roman;Times;serif" w:hAnsi="Times New Roman;Times;serif"/>
          <w:sz w:val="20"/>
        </w:rPr>
        <w:t xml:space="preserve">result from these proceedings will </w:t>
      </w:r>
      <w:r>
        <w:rPr>
          <w:rStyle w:val="Emphasis"/>
          <w:rFonts w:ascii="Times New Roman;Times;serif" w:hAnsi="Times New Roman;Times;serif"/>
          <w:sz w:val="20"/>
        </w:rPr>
        <w:t>not</w:t>
      </w:r>
      <w:r>
        <w:rPr>
          <w:rFonts w:ascii="Times New Roman;Times;serif" w:hAnsi="Times New Roman;Times;serif"/>
          <w:sz w:val="20"/>
        </w:rPr>
        <w:t xml:space="preserve"> have a material adverse effect on our liquidity, financial condition or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Tariffs</w:t>
      </w:r>
      <w:r>
        <w:rPr>
          <w:rFonts w:ascii="Times New Roman;Times;serif" w:hAnsi="Times New Roman;Times;serif"/>
          <w:sz w:val="20"/>
        </w:rPr>
        <w:t xml:space="preserve"> — In </w:t>
      </w:r>
      <w:r>
        <w:rPr>
          <w:rStyle w:val="Emphasis"/>
          <w:rFonts w:ascii="Times New Roman;Times;serif" w:hAnsi="Times New Roman;Times;serif"/>
          <w:sz w:val="20"/>
        </w:rPr>
        <w:t xml:space="preserve">February 2026, </w:t>
      </w:r>
      <w:r>
        <w:rPr>
          <w:rFonts w:ascii="Times New Roman;Times;serif" w:hAnsi="Times New Roman;Times;serif"/>
          <w:sz w:val="20"/>
        </w:rPr>
        <w:t xml:space="preserve">the U.S. Supreme Court issued a ruling invalidating certain tariffs previously imposed under the International Emergency Economic Powers Act (IEEPA). The U.S. Court of International Trade (CIT) has ordered the U.S. Customs and Border Protection (CBP) to refund the collected IEEPA tariffs.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filed for refunds of previously paid tariffs assessed under IEEPA in an aggregate amount of $26 under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of the process established by the CBP. We expect to file for refunds under Phase </w:t>
      </w:r>
      <w:r>
        <w:rPr>
          <w:rStyle w:val="Emphasis"/>
          <w:rFonts w:ascii="Times New Roman;Times;serif" w:hAnsi="Times New Roman;Times;serif"/>
          <w:sz w:val="20"/>
        </w:rPr>
        <w:t>3</w:t>
      </w:r>
      <w:r>
        <w:rPr>
          <w:rFonts w:ascii="Times New Roman;Times;serif" w:hAnsi="Times New Roman;Times;serif"/>
          <w:sz w:val="20"/>
        </w:rPr>
        <w:t xml:space="preserve"> when a formal process is established. Based on the formal process established by the CBP for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refunds and the fact that we have begun to receive cash refunds from the CBP, we believe it is probable that we will recover the IEEPA refunds we have filed for under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As such, we have recorded the $26 recoverable to accounts receivable - other along with a corresponding reduction of cost of sales. As we previously invoiced our customers for reimbursement of IEEPA tariffs paid, we have recorded an offsetting obligation due to our customers to accounts receivable - trade with a corresponding reduction of net sales.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fn14"/>
      <w:bookmarkEnd w:id="20"/>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xml:space="preserve"> Warranty Obligations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record a liability for estimated warranty obligations at the dates our products are sold. We record the liability based on our estimate of costs to settle future claims. Adjustments to our estimated costs at time of sale are made as claim experience and other new information becomes available. Obligations for service campaigns and other occurrences are recognized as adjustments to prior estimates when the obligation is probable and can be reasonably estimated.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warranty liabilities</w:t>
      </w:r>
      <w:r>
        <w:rPr>
          <w:rFonts w:ascii="Times New Roman;Times;serif" w:hAnsi="Times New Roman;Times;serif"/>
          <w:sz w:val="20"/>
        </w:rPr>
        <w:t xml:space="preserve"> — </w:t>
      </w:r>
    </w:p>
    <w:p>
      <w:pPr>
        <w:pStyle w:val="TextBody"/>
        <w:bidi w:val="0"/>
        <w:spacing w:before="0" w:after="0"/>
        <w:ind w:left="0" w:right="0" w:hanging="0"/>
        <w:jc w:val="left"/>
        <w:rPr/>
      </w:pPr>
      <w:r>
        <w:rPr/>
        <w:t> </w:t>
      </w:r>
    </w:p>
    <w:tbl>
      <w:tblPr>
        <w:tblW w:w="6814" w:type="dxa"/>
        <w:jc w:val="left"/>
        <w:tblInd w:w="0" w:type="dxa"/>
        <w:tblLayout w:type="fixed"/>
        <w:tblCellMar>
          <w:top w:w="0" w:type="dxa"/>
          <w:left w:w="0" w:type="dxa"/>
          <w:bottom w:w="0" w:type="dxa"/>
          <w:right w:w="0" w:type="dxa"/>
        </w:tblCellMar>
      </w:tblPr>
      <w:tblGrid>
        <w:gridCol w:w="3320"/>
        <w:gridCol w:w="60"/>
        <w:gridCol w:w="221"/>
        <w:gridCol w:w="512"/>
        <w:gridCol w:w="141"/>
        <w:gridCol w:w="106"/>
        <w:gridCol w:w="221"/>
        <w:gridCol w:w="512"/>
        <w:gridCol w:w="80"/>
        <w:gridCol w:w="60"/>
        <w:gridCol w:w="193"/>
        <w:gridCol w:w="449"/>
        <w:gridCol w:w="124"/>
        <w:gridCol w:w="93"/>
        <w:gridCol w:w="193"/>
        <w:gridCol w:w="449"/>
        <w:gridCol w:w="8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6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4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accrued for current period sales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4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of prior estimates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of warranty claims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impact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4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2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fn15"/>
      <w:bookmarkEnd w:id="21"/>
      <w:r>
        <w:rPr>
          <w:rFonts w:ascii="Times New Roman;Times;serif" w:hAnsi="Times New Roman;Times;serif"/>
          <w:b/>
          <w:sz w:val="20"/>
        </w:rPr>
        <w:t xml:space="preserve">Note </w:t>
      </w:r>
      <w:r>
        <w:rPr>
          <w:rStyle w:val="Emphasis"/>
          <w:rFonts w:ascii="Times New Roman;Times;serif" w:hAnsi="Times New Roman;Times;serif"/>
          <w:b/>
          <w:sz w:val="20"/>
        </w:rPr>
        <w:t>14.</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estimate the effective tax rate expected to be applicable for the full fiscal year and use that rate to provide for income taxes in interim reporting periods. We also recognize the tax impact of certain unusual or infrequently occurring items, including changes in judgment about valuation allowances and effects of changes in tax laws or rates, in the interim period in which they occur.</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We have generally </w:t>
      </w:r>
      <w:r>
        <w:rPr>
          <w:rStyle w:val="Emphasis"/>
          <w:rFonts w:ascii="Times New Roman;Times;serif" w:hAnsi="Times New Roman;Times;serif"/>
          <w:sz w:val="20"/>
        </w:rPr>
        <w:t>not</w:t>
      </w:r>
      <w:r>
        <w:rPr>
          <w:rFonts w:ascii="Times New Roman;Times;serif" w:hAnsi="Times New Roman;Times;serif"/>
          <w:sz w:val="20"/>
        </w:rPr>
        <w:t xml:space="preserve"> recognized tax benefits on losses generated in several entities where the recent history of operating losses does </w:t>
      </w:r>
      <w:r>
        <w:rPr>
          <w:rStyle w:val="Emphasis"/>
          <w:rFonts w:ascii="Times New Roman;Times;serif" w:hAnsi="Times New Roman;Times;serif"/>
          <w:sz w:val="20"/>
        </w:rPr>
        <w:t>not</w:t>
      </w:r>
      <w:r>
        <w:rPr>
          <w:rFonts w:ascii="Times New Roman;Times;serif" w:hAnsi="Times New Roman;Times;serif"/>
          <w:sz w:val="20"/>
        </w:rPr>
        <w:t xml:space="preserve"> allow us to satisfy the “more likely than </w:t>
      </w:r>
      <w:r>
        <w:rPr>
          <w:rStyle w:val="Emphasis"/>
          <w:rFonts w:ascii="Times New Roman;Times;serif" w:hAnsi="Times New Roman;Times;serif"/>
          <w:sz w:val="20"/>
        </w:rPr>
        <w:t>not”</w:t>
      </w:r>
      <w:r>
        <w:rPr>
          <w:rFonts w:ascii="Times New Roman;Times;serif" w:hAnsi="Times New Roman;Times;serif"/>
          <w:sz w:val="20"/>
        </w:rPr>
        <w:t xml:space="preserve"> criterion for the recognition of deferred tax assets. Consequently, there is </w:t>
      </w:r>
      <w:r>
        <w:rPr>
          <w:rStyle w:val="Emphasis"/>
          <w:rFonts w:ascii="Times New Roman;Times;serif" w:hAnsi="Times New Roman;Times;serif"/>
          <w:sz w:val="20"/>
        </w:rPr>
        <w:t>no</w:t>
      </w:r>
      <w:r>
        <w:rPr>
          <w:rFonts w:ascii="Times New Roman;Times;serif" w:hAnsi="Times New Roman;Times;serif"/>
          <w:sz w:val="20"/>
        </w:rPr>
        <w:t xml:space="preserve"> income tax expense or benefit recognized on the pre-tax income or losses in these jurisdictions as valuation allowances are adjusted to offset the associated tax expense or benefit.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We record interest and penalties related to uncertain tax positions as a component of income tax expense. Net interest expense for the periods presented herein is </w:t>
      </w:r>
      <w:r>
        <w:rPr>
          <w:rStyle w:val="Emphasis"/>
          <w:rFonts w:ascii="Times New Roman;Times;serif" w:hAnsi="Times New Roman;Times;serif"/>
          <w:sz w:val="20"/>
        </w:rPr>
        <w:t>not</w:t>
      </w:r>
      <w:r>
        <w:rPr>
          <w:rFonts w:ascii="Times New Roman;Times;serif" w:hAnsi="Times New Roman;Times;serif"/>
          <w:sz w:val="20"/>
        </w:rPr>
        <w:t xml:space="preserve"> significant.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We reported income tax expense of $54 and $10 for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and income tax expense of $68 and $0 for the respective year-to-date periods. Our effective tax rates were 124% and 0% for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recorded $12 of tax expense due to revisions in our assertions on unremitted earnings in foreign jurisdictions.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we recorded a tax benefit of $19 due to a basis difference in a foreign subsidiary as a result of a change in tax status, $9 of tax expense for income tax reserves associated with prior tax years in foreign jurisdictions and tax expense of $6 resulting from the sale of Dana's ownership interest in an equity method investment.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vary significantly due to fluctuations in the amounts and sources, both foreign and domestic, of pretax income and changes in the amounts of non-deductible expenses.</w:t>
      </w:r>
    </w:p>
    <w:p>
      <w:pPr>
        <w:pStyle w:val="TextBody"/>
        <w:bidi w:val="0"/>
        <w:spacing w:before="0" w:after="0"/>
        <w:ind w:left="16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(OBBBA) was enacted in the U.S. The OBBBA includes significant provisions, such as the permanent extension of certain expiring provisions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Tax Cuts and Jobs Act, modifications to the international tax framework, and the restoration of favorable tax treatment for certain business provisions. The legislation has multiple effective dates, with certain provisions effective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others implemented through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 Company has evaluated the provisions of the Act and reflected the impact during the appropriate period. The Company will continue to evaluate the impact of these legislative changes as more guidance becomes available.</w:t>
      </w:r>
    </w:p>
    <w:p>
      <w:pPr>
        <w:pStyle w:val="TextBody"/>
        <w:bidi w:val="0"/>
        <w:spacing w:before="0" w:after="0"/>
        <w:ind w:left="0" w:right="0" w:firstLine="36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fn16"/>
      <w:bookmarkEnd w:id="22"/>
      <w:r>
        <w:rPr>
          <w:rFonts w:ascii="Times New Roman;Times;serif" w:hAnsi="Times New Roman;Times;serif"/>
          <w:b/>
          <w:sz w:val="20"/>
        </w:rPr>
        <w:t xml:space="preserve">Note </w:t>
      </w:r>
      <w:r>
        <w:rPr>
          <w:rStyle w:val="Emphasis"/>
          <w:rFonts w:ascii="Times New Roman;Times;serif" w:hAnsi="Times New Roman;Times;serif"/>
          <w:b/>
          <w:sz w:val="20"/>
        </w:rPr>
        <w:t>15.</w:t>
      </w:r>
      <w:r>
        <w:rPr>
          <w:rFonts w:ascii="Times New Roman;Times;serif" w:hAnsi="Times New Roman;Times;serif"/>
          <w:b/>
          <w:sz w:val="20"/>
        </w:rPr>
        <w:t xml:space="preserve"> Other Income (Expense), Net</w:t>
      </w:r>
      <w:r>
        <w:rPr>
          <w:rFonts w:ascii="Times New Roman;Times;serif" w:hAnsi="Times New Roman;Times;serif"/>
          <w:sz w:val="20"/>
        </w:rPr>
        <w:t> </w:t>
      </w:r>
    </w:p>
    <w:p>
      <w:pPr>
        <w:pStyle w:val="TextBody"/>
        <w:bidi w:val="0"/>
        <w:spacing w:before="0" w:after="0"/>
        <w:ind w:left="0" w:right="0" w:hanging="0"/>
        <w:jc w:val="left"/>
        <w:rPr/>
      </w:pPr>
      <w:r>
        <w:rPr/>
        <w:t> </w:t>
      </w:r>
    </w:p>
    <w:tbl>
      <w:tblPr>
        <w:tblW w:w="8134" w:type="dxa"/>
        <w:jc w:val="left"/>
        <w:tblInd w:w="0" w:type="dxa"/>
        <w:tblLayout w:type="fixed"/>
        <w:tblCellMar>
          <w:top w:w="0" w:type="dxa"/>
          <w:left w:w="0" w:type="dxa"/>
          <w:bottom w:w="0" w:type="dxa"/>
          <w:right w:w="0" w:type="dxa"/>
        </w:tblCellMar>
      </w:tblPr>
      <w:tblGrid>
        <w:gridCol w:w="4640"/>
        <w:gridCol w:w="60"/>
        <w:gridCol w:w="221"/>
        <w:gridCol w:w="512"/>
        <w:gridCol w:w="141"/>
        <w:gridCol w:w="106"/>
        <w:gridCol w:w="221"/>
        <w:gridCol w:w="512"/>
        <w:gridCol w:w="80"/>
        <w:gridCol w:w="60"/>
        <w:gridCol w:w="193"/>
        <w:gridCol w:w="449"/>
        <w:gridCol w:w="124"/>
        <w:gridCol w:w="93"/>
        <w:gridCol w:w="193"/>
        <w:gridCol w:w="449"/>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6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assistance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4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income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4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Foreign exchange gains and losses on cross-currency intercompany loan balances that are </w:t>
      </w:r>
      <w:r>
        <w:rPr>
          <w:rStyle w:val="Emphasis"/>
          <w:rFonts w:ascii="Times New Roman;Times;serif" w:hAnsi="Times New Roman;Times;serif"/>
          <w:sz w:val="20"/>
        </w:rPr>
        <w:t>not</w:t>
      </w:r>
      <w:r>
        <w:rPr>
          <w:rFonts w:ascii="Times New Roman;Times;serif" w:hAnsi="Times New Roman;Times;serif"/>
          <w:sz w:val="20"/>
        </w:rPr>
        <w:t xml:space="preserve"> of a long-term investment nature are included above. Foreign exchange gains and losses on intercompany loans that are permanently invested are reported in OCI. </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Strategic transaction expenses relate primarily to costs incurred in connection with acquisition and divestiture related activities, including costs to complete the transaction and post-closing integration costs, and other strategic initiatives. Strategic transaction expenses in </w:t>
      </w:r>
      <w:r>
        <w:rPr>
          <w:rStyle w:val="Emphasis"/>
          <w:rFonts w:ascii="Times New Roman;Times;serif" w:hAnsi="Times New Roman;Times;serif"/>
          <w:sz w:val="20"/>
        </w:rPr>
        <w:t>2026</w:t>
      </w:r>
      <w:r>
        <w:rPr>
          <w:rFonts w:ascii="Times New Roman;Times;serif" w:hAnsi="Times New Roman;Times;serif"/>
          <w:sz w:val="20"/>
        </w:rPr>
        <w:t xml:space="preserve"> were primarily attributable to the potential acquisition of Eaton's Mobility business. See Note </w:t>
      </w:r>
      <w:r>
        <w:rPr>
          <w:rStyle w:val="Emphasis"/>
          <w:rFonts w:ascii="Times New Roman;Times;serif" w:hAnsi="Times New Roman;Times;serif"/>
          <w:sz w:val="20"/>
        </w:rPr>
        <w:t>1</w:t>
      </w:r>
      <w:r>
        <w:rPr>
          <w:rFonts w:ascii="Times New Roman;Times;serif" w:hAnsi="Times New Roman;Times;serif"/>
          <w:sz w:val="20"/>
        </w:rPr>
        <w:t xml:space="preserve"> for additional information.</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recorded $59 of charges, including impairment and loss on disposition of property, plant and equipment, associated with certain electric vehicle programs that were either cancelled by the customer or that have experienced a precipitous decline in program volumes.</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January 1, 2026, </w:t>
      </w:r>
      <w:r>
        <w:rPr>
          <w:rFonts w:ascii="Times New Roman;Times;serif" w:hAnsi="Times New Roman;Times;serif"/>
          <w:caps w:val="false"/>
          <w:smallCaps w:val="false"/>
          <w:sz w:val="20"/>
        </w:rPr>
        <w:t xml:space="preserve">we sold our Off-Highway business to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January 30, 2026, </w:t>
      </w:r>
      <w:r>
        <w:rPr>
          <w:rFonts w:ascii="Times New Roman;Times;serif" w:hAnsi="Times New Roman;Times;serif"/>
          <w:caps w:val="false"/>
          <w:smallCaps w:val="false"/>
          <w:sz w:val="20"/>
        </w:rPr>
        <w:t>we sold our wholly-owned subsidiary Pi Innovo LLC, recognizing a $8 pre-tax loss on the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June 6, 2025, </w:t>
      </w:r>
      <w:r>
        <w:rPr>
          <w:rFonts w:ascii="Times New Roman;Times;serif" w:hAnsi="Times New Roman;Times;serif"/>
          <w:caps w:val="false"/>
          <w:smallCaps w:val="false"/>
          <w:sz w:val="20"/>
        </w:rPr>
        <w:t xml:space="preserve">we sold our ownership interest in Switch Mobility Limited, recognizing an $8 pre-tax loss on the transaction. See Note </w:t>
      </w:r>
      <w:r>
        <w:rPr>
          <w:rStyle w:val="Emphasis"/>
          <w:rFonts w:ascii="Times New Roman;Times;serif" w:hAnsi="Times New Roman;Times;serif"/>
          <w:caps w:val="false"/>
          <w:smallCaps w:val="false"/>
          <w:sz w:val="20"/>
        </w:rPr>
        <w:t>18</w:t>
      </w:r>
      <w:r>
        <w:rPr>
          <w:rFonts w:ascii="Times New Roman;Times;serif" w:hAnsi="Times New Roman;Times;serif"/>
          <w:caps w:val="false"/>
          <w:smallCaps w:val="false"/>
          <w:sz w:val="20"/>
        </w:rPr>
        <w:t xml:space="preserve"> for additional information.</w:t>
      </w:r>
    </w:p>
    <w:p>
      <w:pPr>
        <w:pStyle w:val="TextBody"/>
        <w:bidi w:val="0"/>
        <w:spacing w:before="0" w:after="283"/>
        <w:jc w:val="left"/>
        <w:rPr/>
      </w:pPr>
      <w:r>
        <w:rPr/>
        <w:t xml:space="preserve">  </w:t>
      </w:r>
    </w:p>
    <w:p>
      <w:pPr>
        <w:pStyle w:val="TextBody"/>
        <w:bidi w:val="0"/>
        <w:spacing w:before="0" w:after="0"/>
        <w:ind w:left="0" w:right="0" w:hanging="0"/>
        <w:jc w:val="left"/>
        <w:rPr/>
      </w:pPr>
      <w:bookmarkStart w:id="23" w:name="fn17"/>
      <w:bookmarkEnd w:id="23"/>
      <w:r>
        <w:rPr>
          <w:rFonts w:ascii="Times New Roman;Times;serif" w:hAnsi="Times New Roman;Times;serif"/>
          <w:b/>
          <w:sz w:val="20"/>
        </w:rPr>
        <w:t xml:space="preserve">Note </w:t>
      </w:r>
      <w:r>
        <w:rPr>
          <w:rStyle w:val="Emphasis"/>
          <w:rFonts w:ascii="Times New Roman;Times;serif" w:hAnsi="Times New Roman;Times;serif"/>
          <w:b/>
          <w:sz w:val="20"/>
        </w:rPr>
        <w:t>16.</w:t>
      </w:r>
      <w:r>
        <w:rPr>
          <w:rFonts w:ascii="Times New Roman;Times;serif" w:hAnsi="Times New Roman;Times;serif"/>
          <w:b/>
          <w:sz w:val="20"/>
        </w:rPr>
        <w:t xml:space="preserve"> Revenue from Contracts with Customers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We generate revenue from selling production parts to original equipment manufacturers (OEMs) and service parts to OEMs and aftermarket customers. While we provide production and service parts to certain OEMs under awarded multi-year programs, these multi-year programs do </w:t>
      </w:r>
      <w:r>
        <w:rPr>
          <w:rStyle w:val="Emphasis"/>
          <w:rFonts w:ascii="Times New Roman;Times;serif" w:hAnsi="Times New Roman;Times;serif"/>
          <w:sz w:val="20"/>
        </w:rPr>
        <w:t>not</w:t>
      </w:r>
      <w:r>
        <w:rPr>
          <w:rFonts w:ascii="Times New Roman;Times;serif" w:hAnsi="Times New Roman;Times;serif"/>
          <w:sz w:val="20"/>
        </w:rPr>
        <w:t xml:space="preserve"> contain any commitment to volume by the customer. As such, individual customer releases or purchase orders represent the contract with the customer. Our customer contracts do </w:t>
      </w:r>
      <w:r>
        <w:rPr>
          <w:rStyle w:val="Emphasis"/>
          <w:rFonts w:ascii="Times New Roman;Times;serif" w:hAnsi="Times New Roman;Times;serif"/>
          <w:sz w:val="20"/>
        </w:rPr>
        <w:t>not</w:t>
      </w:r>
      <w:r>
        <w:rPr>
          <w:rFonts w:ascii="Times New Roman;Times;serif" w:hAnsi="Times New Roman;Times;serif"/>
          <w:sz w:val="20"/>
        </w:rPr>
        <w:t xml:space="preserve"> provide us with an enforceable right to payment for performance completed to date throughout the contract term. As such, we recognize part sales revenue at the point in time when the parts are shipped, and risk of loss has transferred to the customer. We have elected to continue to include shipping and handling fees billed to customers in revenue, while including costs of shipping and handling in costs of sales. Taxes collected from customers are excluded from revenues and credited directly to obligations to the appropriate government agencies. Payment terms with our customers are established based on industry and regional practices and generally do </w:t>
      </w:r>
      <w:r>
        <w:rPr>
          <w:rStyle w:val="Emphasis"/>
          <w:rFonts w:ascii="Times New Roman;Times;serif" w:hAnsi="Times New Roman;Times;serif"/>
          <w:sz w:val="20"/>
        </w:rPr>
        <w:t>not</w:t>
      </w:r>
      <w:r>
        <w:rPr>
          <w:rFonts w:ascii="Times New Roman;Times;serif" w:hAnsi="Times New Roman;Times;serif"/>
          <w:sz w:val="20"/>
        </w:rPr>
        <w:t xml:space="preserve"> exceed 180 days.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We continually seek new business opportunities and at times provide incentives to our customers for new program awards. We evaluate the underlying economics of each payment made to our customers to determine the proper accounting by understanding the nature of the payment, the rights and obligations in the contract, and other relevant facts and circumstances. Upfront payments to our customers are capitalized if we determine that the payments are incremental and incurred only if the new business is obtained and we expect to recover these amounts from the customer over the term of the new business program. We recognize a reduction to revenue as products that the upfront payments are related to are transferred to the customer, based on the total amount of products expected to be sold over the term of the program. We evaluate the amounts capitalized each period for recoverability and expense any amounts that are </w:t>
      </w:r>
      <w:r>
        <w:rPr>
          <w:rStyle w:val="Emphasis"/>
          <w:rFonts w:ascii="Times New Roman;Times;serif" w:hAnsi="Times New Roman;Times;serif"/>
          <w:sz w:val="20"/>
        </w:rPr>
        <w:t>no</w:t>
      </w:r>
      <w:r>
        <w:rPr>
          <w:rFonts w:ascii="Times New Roman;Times;serif" w:hAnsi="Times New Roman;Times;serif"/>
          <w:sz w:val="20"/>
        </w:rPr>
        <w:t xml:space="preserve"> longer expected to be recovered. We had $5 and $6 recorded in other current assets and $9 and $15 recorded in other noncurrent assets at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Certain of our customer contracts include rebate incentives. We estimate expected rebates and accrue the corresponding refund liability, as a reduction of revenue, at the time covered product is sold to the customer based on anticipated customer purchases during the rebate period and contractual rebate percentages. Refund liabilities are included in other accrued liabilities on our consolidated balance sheets. We provide standard fitness for use warranties on the products we sell, accruing for estimated costs related to product warranty obligations at time of sale. See Note </w:t>
      </w:r>
      <w:r>
        <w:rPr>
          <w:rStyle w:val="Emphasis"/>
          <w:rFonts w:ascii="Times New Roman;Times;serif" w:hAnsi="Times New Roman;Times;serif"/>
          <w:sz w:val="20"/>
        </w:rPr>
        <w:t>13</w:t>
      </w:r>
      <w:r>
        <w:rPr>
          <w:rFonts w:ascii="Times New Roman;Times;serif" w:hAnsi="Times New Roman;Times;serif"/>
          <w:sz w:val="20"/>
        </w:rPr>
        <w:t> for additional information.</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sz w:val="20"/>
        </w:rPr>
        <w:t xml:space="preserve">Contract liabilities are primarily comprised of cash deposits made by customers with cash in advance payment terms, upfront payments from customers related to multi-year programs and unapplied Section </w:t>
      </w:r>
      <w:r>
        <w:rPr>
          <w:rStyle w:val="Emphasis"/>
          <w:rFonts w:ascii="Times New Roman;Times;serif" w:hAnsi="Times New Roman;Times;serif"/>
          <w:sz w:val="20"/>
        </w:rPr>
        <w:t>232</w:t>
      </w:r>
      <w:r>
        <w:rPr>
          <w:rFonts w:ascii="Times New Roman;Times;serif" w:hAnsi="Times New Roman;Times;serif"/>
          <w:sz w:val="20"/>
        </w:rPr>
        <w:t xml:space="preserve"> tariff credits allocated to Dana by its U.S. OEM customers. We had $167 and $25 recorded in other accrued liabilities and $54 and $59 recorded in other noncurrent liabilities at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We had $135 recorded in other current assets at </w:t>
      </w:r>
      <w:r>
        <w:rPr>
          <w:rStyle w:val="Emphasis"/>
          <w:rFonts w:ascii="Times New Roman;Times;serif" w:hAnsi="Times New Roman;Times;serif"/>
          <w:sz w:val="20"/>
        </w:rPr>
        <w:t xml:space="preserve">June 30, 2026, </w:t>
      </w:r>
      <w:r>
        <w:rPr>
          <w:rFonts w:ascii="Times New Roman;Times;serif" w:hAnsi="Times New Roman;Times;serif"/>
          <w:sz w:val="20"/>
        </w:rPr>
        <w:t xml:space="preserve">which represents consideration received from our U.S. OEM customers for the unapplied Section </w:t>
      </w:r>
      <w:r>
        <w:rPr>
          <w:rStyle w:val="Emphasis"/>
          <w:rFonts w:ascii="Times New Roman;Times;serif" w:hAnsi="Times New Roman;Times;serif"/>
          <w:sz w:val="20"/>
        </w:rPr>
        <w:t>232</w:t>
      </w:r>
      <w:r>
        <w:rPr>
          <w:rFonts w:ascii="Times New Roman;Times;serif" w:hAnsi="Times New Roman;Times;serif"/>
          <w:sz w:val="20"/>
        </w:rPr>
        <w:t xml:space="preserve"> tariff credits.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Disaggregation of revenue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disaggregates revenue for each of our operating segments by geographical market:</w:t>
      </w:r>
    </w:p>
    <w:p>
      <w:pPr>
        <w:pStyle w:val="TextBody"/>
        <w:bidi w:val="0"/>
        <w:spacing w:before="0" w:after="0"/>
        <w:ind w:left="0" w:right="0" w:hanging="0"/>
        <w:jc w:val="left"/>
        <w:rPr/>
      </w:pPr>
      <w:r>
        <w:rPr/>
        <w:t> </w:t>
      </w:r>
    </w:p>
    <w:tbl>
      <w:tblPr>
        <w:tblW w:w="5137" w:type="dxa"/>
        <w:jc w:val="left"/>
        <w:tblInd w:w="0" w:type="dxa"/>
        <w:tblLayout w:type="fixed"/>
        <w:tblCellMar>
          <w:top w:w="0" w:type="dxa"/>
          <w:left w:w="0" w:type="dxa"/>
          <w:bottom w:w="0" w:type="dxa"/>
          <w:right w:w="0" w:type="dxa"/>
        </w:tblCellMar>
      </w:tblPr>
      <w:tblGrid>
        <w:gridCol w:w="1685"/>
        <w:gridCol w:w="60"/>
        <w:gridCol w:w="159"/>
        <w:gridCol w:w="620"/>
        <w:gridCol w:w="76"/>
        <w:gridCol w:w="76"/>
        <w:gridCol w:w="159"/>
        <w:gridCol w:w="620"/>
        <w:gridCol w:w="60"/>
        <w:gridCol w:w="60"/>
        <w:gridCol w:w="140"/>
        <w:gridCol w:w="544"/>
        <w:gridCol w:w="67"/>
        <w:gridCol w:w="67"/>
        <w:gridCol w:w="140"/>
        <w:gridCol w:w="544"/>
        <w:gridCol w:w="60"/>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4" w:name="fn18"/>
      <w:bookmarkEnd w:id="24"/>
      <w:r>
        <w:rPr>
          <w:rFonts w:ascii="Times New Roman;Times;serif" w:hAnsi="Times New Roman;Times;serif"/>
          <w:b/>
          <w:sz w:val="20"/>
        </w:rPr>
        <w:t xml:space="preserve">Note </w:t>
      </w:r>
      <w:r>
        <w:rPr>
          <w:rStyle w:val="Emphasis"/>
          <w:rFonts w:ascii="Times New Roman;Times;serif" w:hAnsi="Times New Roman;Times;serif"/>
          <w:b/>
          <w:sz w:val="20"/>
        </w:rPr>
        <w:t>17.</w:t>
      </w:r>
      <w:r>
        <w:rPr>
          <w:rFonts w:ascii="Times New Roman;Times;serif" w:hAnsi="Times New Roman;Times;serif"/>
          <w:b/>
          <w:sz w:val="20"/>
        </w:rPr>
        <w:t xml:space="preserve"> Segments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We are a global provider of high-technology products to virtually every major on-highway vehicle manufacturer in the world. Our technologies include drive systems (axles, driveshafts and transmissions); electrodynamic technologies (motors, inverters, software and control systems, battery-management systems, and fuel cell plates); sealing solutions (gaskets, seals, cam covers, and oil pan modules); thermal-management technologies (transmission and engine oil cooling, battery and electronics cooling, charge air cooling, and thermal-acoustical protective shielding); and digital solutions (active and passive system controls and descriptive and predictive analytics). Effective </w:t>
      </w:r>
      <w:r>
        <w:rPr>
          <w:rStyle w:val="Emphasis"/>
          <w:rFonts w:ascii="Times New Roman;Times;serif" w:hAnsi="Times New Roman;Times;serif"/>
          <w:caps w:val="false"/>
          <w:smallCaps w:val="false"/>
          <w:sz w:val="20"/>
        </w:rPr>
        <w:t xml:space="preserve">January 1, 2025, </w:t>
      </w:r>
      <w:r>
        <w:rPr>
          <w:rFonts w:ascii="Times New Roman;Times;serif" w:hAnsi="Times New Roman;Times;serif"/>
          <w:caps w:val="false"/>
          <w:smallCaps w:val="false"/>
          <w:sz w:val="20"/>
        </w:rPr>
        <w:t xml:space="preserve">Dana’s chief operating decision maker (CODM) realigned Dana’s operating segments, reflecting Dana’s commitment to streamlining the business, enhancing our go-to market approach, and serving our customers more efficiently. Our former Power Technologies operating segment has been split, integrating the OEM-facing business into our Light Vehicle Systems operating segment and integrating the aftermarket business into our Commercial Vehicle Systems operating segment. In addition, in </w:t>
      </w:r>
      <w:r>
        <w:rPr>
          <w:rStyle w:val="Emphasis"/>
          <w:rFonts w:ascii="Times New Roman;Times;serif" w:hAnsi="Times New Roman;Times;serif"/>
          <w:caps w:val="false"/>
          <w:smallCaps w:val="false"/>
          <w:sz w:val="20"/>
        </w:rPr>
        <w:t xml:space="preserve">June 2025 </w:t>
      </w:r>
      <w:r>
        <w:rPr>
          <w:rFonts w:ascii="Times New Roman;Times;serif" w:hAnsi="Times New Roman;Times;serif"/>
          <w:caps w:val="false"/>
          <w:smallCaps w:val="false"/>
          <w:sz w:val="20"/>
        </w:rPr>
        <w:t xml:space="preserve">we entered into a definitive agreement to sell our Off-Highway business to Allison Transmission Holdings, Inc. See Note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for additional information. Certain operations that fell outside of the sale perimeter, including certain Dana </w:t>
      </w:r>
      <w:r>
        <w:rPr>
          <w:rStyle w:val="Emphasis"/>
          <w:rFonts w:ascii="Times New Roman;Times;serif" w:hAnsi="Times New Roman;Times;serif"/>
          <w:caps w:val="false"/>
          <w:smallCaps w:val="false"/>
          <w:sz w:val="20"/>
        </w:rPr>
        <w:t>TM4</w:t>
      </w:r>
      <w:r>
        <w:rPr>
          <w:rFonts w:ascii="Times New Roman;Times;serif" w:hAnsi="Times New Roman;Times;serif"/>
          <w:caps w:val="false"/>
          <w:smallCaps w:val="false"/>
          <w:sz w:val="20"/>
        </w:rPr>
        <w:t xml:space="preserve"> operations and our European hydraulics business, have been integrated into our Commercial Vehicle Systems and Light Vehicle Systems operating segments, respectively. We now serve our global light vehicle and medium/heavy vehicle markets through two operating segments – Light Vehicle Systems (Light Vehicle) and Commercial Vehicle Systems (Commercial Vehicle). These operating segments have global responsibility and accountability for business commercial activities and financial performance. Amounts presented for prior periods have been recast to align with Dana’s current two operating segments. Dana’s Chief Executive Officer is its CODM.</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Dana evaluates the performance of its operating segments based on external sales and segment EBITDA. Segment EBITDA is a primary driver of cash flows from operations and a measure of our ability to maintain and continue to invest in our operations and provide shareholder returns. Our segments are charged for corporate and other shared administrative costs. Certain corporate and other administrative costs that were historically charged to our Off-Highway business, that are </w:t>
      </w:r>
      <w:r>
        <w:rPr>
          <w:rStyle w:val="Emphasis"/>
          <w:rFonts w:ascii="Times New Roman;Times;serif" w:hAnsi="Times New Roman;Times;serif"/>
          <w:sz w:val="20"/>
        </w:rPr>
        <w:t>not</w:t>
      </w:r>
      <w:r>
        <w:rPr>
          <w:rFonts w:ascii="Times New Roman;Times;serif" w:hAnsi="Times New Roman;Times;serif"/>
          <w:sz w:val="20"/>
        </w:rPr>
        <w:t xml:space="preserve"> permitted to be reflected as part of discontinued operations, have been recast and are included within the "corporate expense and other items, net" line of the reconciliation of segment EBITDA to earnings (loss) from continuing operations before income taxes. Segment EBITDA </w:t>
      </w:r>
      <w:r>
        <w:rPr>
          <w:rStyle w:val="Emphasis"/>
          <w:rFonts w:ascii="Times New Roman;Times;serif" w:hAnsi="Times New Roman;Times;serif"/>
          <w:sz w:val="20"/>
        </w:rPr>
        <w:t>may not</w:t>
      </w:r>
      <w:r>
        <w:rPr>
          <w:rFonts w:ascii="Times New Roman;Times;serif" w:hAnsi="Times New Roman;Times;serif"/>
          <w:sz w:val="20"/>
        </w:rPr>
        <w:t xml:space="preserve"> be comparable to similarly titled measures reported by other companies.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Segment information</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325" w:type="dxa"/>
        <w:jc w:val="left"/>
        <w:tblInd w:w="0" w:type="dxa"/>
        <w:tblLayout w:type="fixed"/>
        <w:tblCellMar>
          <w:top w:w="0" w:type="dxa"/>
          <w:left w:w="0" w:type="dxa"/>
          <w:bottom w:w="0" w:type="dxa"/>
          <w:right w:w="0" w:type="dxa"/>
        </w:tblCellMar>
      </w:tblPr>
      <w:tblGrid>
        <w:gridCol w:w="3635"/>
        <w:gridCol w:w="60"/>
        <w:gridCol w:w="130"/>
        <w:gridCol w:w="505"/>
        <w:gridCol w:w="80"/>
        <w:gridCol w:w="60"/>
        <w:gridCol w:w="274"/>
        <w:gridCol w:w="736"/>
        <w:gridCol w:w="80"/>
        <w:gridCol w:w="60"/>
        <w:gridCol w:w="263"/>
        <w:gridCol w:w="612"/>
        <w:gridCol w:w="80"/>
        <w:gridCol w:w="60"/>
        <w:gridCol w:w="125"/>
        <w:gridCol w:w="485"/>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Light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 (b) -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305" w:type="dxa"/>
        <w:jc w:val="left"/>
        <w:tblInd w:w="0" w:type="dxa"/>
        <w:tblLayout w:type="fixed"/>
        <w:tblCellMar>
          <w:top w:w="0" w:type="dxa"/>
          <w:left w:w="0" w:type="dxa"/>
          <w:bottom w:w="0" w:type="dxa"/>
          <w:right w:w="0" w:type="dxa"/>
        </w:tblCellMar>
      </w:tblPr>
      <w:tblGrid>
        <w:gridCol w:w="3635"/>
        <w:gridCol w:w="60"/>
        <w:gridCol w:w="130"/>
        <w:gridCol w:w="505"/>
        <w:gridCol w:w="60"/>
        <w:gridCol w:w="60"/>
        <w:gridCol w:w="274"/>
        <w:gridCol w:w="736"/>
        <w:gridCol w:w="80"/>
        <w:gridCol w:w="60"/>
        <w:gridCol w:w="263"/>
        <w:gridCol w:w="612"/>
        <w:gridCol w:w="80"/>
        <w:gridCol w:w="60"/>
        <w:gridCol w:w="125"/>
        <w:gridCol w:w="485"/>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 (b) -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305" w:type="dxa"/>
        <w:jc w:val="left"/>
        <w:tblInd w:w="0" w:type="dxa"/>
        <w:tblLayout w:type="fixed"/>
        <w:tblCellMar>
          <w:top w:w="0" w:type="dxa"/>
          <w:left w:w="0" w:type="dxa"/>
          <w:bottom w:w="0" w:type="dxa"/>
          <w:right w:w="0" w:type="dxa"/>
        </w:tblCellMar>
      </w:tblPr>
      <w:tblGrid>
        <w:gridCol w:w="3635"/>
        <w:gridCol w:w="60"/>
        <w:gridCol w:w="130"/>
        <w:gridCol w:w="505"/>
        <w:gridCol w:w="80"/>
        <w:gridCol w:w="60"/>
        <w:gridCol w:w="206"/>
        <w:gridCol w:w="804"/>
        <w:gridCol w:w="80"/>
        <w:gridCol w:w="60"/>
        <w:gridCol w:w="437"/>
        <w:gridCol w:w="438"/>
        <w:gridCol w:w="60"/>
        <w:gridCol w:w="60"/>
        <w:gridCol w:w="125"/>
        <w:gridCol w:w="485"/>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Light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3635"/>
        <w:gridCol w:w="60"/>
        <w:gridCol w:w="130"/>
        <w:gridCol w:w="505"/>
        <w:gridCol w:w="60"/>
        <w:gridCol w:w="60"/>
        <w:gridCol w:w="206"/>
        <w:gridCol w:w="804"/>
        <w:gridCol w:w="80"/>
        <w:gridCol w:w="60"/>
        <w:gridCol w:w="437"/>
        <w:gridCol w:w="438"/>
        <w:gridCol w:w="60"/>
        <w:gridCol w:w="60"/>
        <w:gridCol w:w="125"/>
        <w:gridCol w:w="485"/>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(a) Other segment items primarily include foreign exchange gains and losses, government assistance and export incentives.</w:t>
      </w:r>
    </w:p>
    <w:p>
      <w:pPr>
        <w:pStyle w:val="TextBody"/>
        <w:bidi w:val="0"/>
        <w:spacing w:before="0" w:after="0"/>
        <w:ind w:left="160" w:right="0" w:hanging="160"/>
        <w:jc w:val="left"/>
        <w:rPr>
          <w:rFonts w:ascii="Times New Roman;Times;serif" w:hAnsi="Times New Roman;Times;serif"/>
          <w:sz w:val="20"/>
        </w:rPr>
      </w:pPr>
      <w:r>
        <w:rPr>
          <w:rFonts w:ascii="Times New Roman;Times;serif" w:hAnsi="Times New Roman;Times;serif"/>
          <w:sz w:val="20"/>
        </w:rPr>
        <w:t>(b) Segment net assets include accounts receivable - trade, inventories and accounts payable.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segment EBITDA to loss from continuing operations before income taxes </w:t>
      </w:r>
      <w:r>
        <w:rPr>
          <w:rFonts w:ascii="Times New Roman;Times;serif" w:hAnsi="Times New Roman;Times;serif"/>
          <w:sz w:val="20"/>
        </w:rPr>
        <w:t>—</w:t>
      </w:r>
    </w:p>
    <w:p>
      <w:pPr>
        <w:pStyle w:val="TextBody"/>
        <w:bidi w:val="0"/>
        <w:spacing w:before="0" w:after="283"/>
        <w:jc w:val="left"/>
        <w:rPr/>
      </w:pPr>
      <w:r>
        <w:rPr/>
        <w:t> </w:t>
      </w:r>
    </w:p>
    <w:tbl>
      <w:tblPr>
        <w:tblW w:w="9156" w:type="dxa"/>
        <w:jc w:val="left"/>
        <w:tblInd w:w="0" w:type="dxa"/>
        <w:tblLayout w:type="fixed"/>
        <w:tblCellMar>
          <w:top w:w="0" w:type="dxa"/>
          <w:left w:w="0" w:type="dxa"/>
          <w:bottom w:w="0" w:type="dxa"/>
          <w:right w:w="0" w:type="dxa"/>
        </w:tblCellMar>
      </w:tblPr>
      <w:tblGrid>
        <w:gridCol w:w="5660"/>
        <w:gridCol w:w="60"/>
        <w:gridCol w:w="202"/>
        <w:gridCol w:w="542"/>
        <w:gridCol w:w="129"/>
        <w:gridCol w:w="97"/>
        <w:gridCol w:w="202"/>
        <w:gridCol w:w="542"/>
        <w:gridCol w:w="80"/>
        <w:gridCol w:w="60"/>
        <w:gridCol w:w="159"/>
        <w:gridCol w:w="503"/>
        <w:gridCol w:w="102"/>
        <w:gridCol w:w="76"/>
        <w:gridCol w:w="159"/>
        <w:gridCol w:w="503"/>
        <w:gridCol w:w="80"/>
      </w:tblGrid>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 and other items,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capacity charge adjustment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sz w:val="4"/>
                <w:szCs w:val="4"/>
              </w:rPr>
            </w:pPr>
            <w:r>
              <w:rPr>
                <w:sz w:val="4"/>
                <w:szCs w:val="4"/>
              </w:rPr>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attributable to previously closed/divested operations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Distressed supplier costs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on unhedged intercompany loans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items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29" w:type="dxa"/>
            <w:tcBorders/>
            <w:shd w:fill="FFFFFF" w:val="clear"/>
            <w:vAlign w:val="center"/>
          </w:tcPr>
          <w:p>
            <w:pPr>
              <w:pStyle w:val="TableContents"/>
              <w:bidi w:val="0"/>
              <w:spacing w:before="0" w:after="0"/>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segment net assets to consolidated total assets </w:t>
      </w:r>
      <w:r>
        <w:rPr>
          <w:rFonts w:ascii="Times New Roman;Times;serif" w:hAnsi="Times New Roman;Times;serif"/>
          <w:sz w:val="20"/>
        </w:rPr>
        <w:t>—</w:t>
      </w:r>
    </w:p>
    <w:p>
      <w:pPr>
        <w:pStyle w:val="TextBody"/>
        <w:bidi w:val="0"/>
        <w:spacing w:before="0" w:after="0"/>
        <w:ind w:left="0" w:right="0" w:hanging="0"/>
        <w:jc w:val="left"/>
        <w:rPr/>
      </w:pPr>
      <w:r>
        <w:rPr/>
        <w:t> </w:t>
      </w:r>
    </w:p>
    <w:tbl>
      <w:tblPr>
        <w:tblW w:w="6139" w:type="dxa"/>
        <w:jc w:val="left"/>
        <w:tblInd w:w="0" w:type="dxa"/>
        <w:tblLayout w:type="fixed"/>
        <w:tblCellMar>
          <w:top w:w="0" w:type="dxa"/>
          <w:left w:w="0" w:type="dxa"/>
          <w:bottom w:w="0" w:type="dxa"/>
          <w:right w:w="0" w:type="dxa"/>
        </w:tblCellMar>
      </w:tblPr>
      <w:tblGrid>
        <w:gridCol w:w="3935"/>
        <w:gridCol w:w="60"/>
        <w:gridCol w:w="145"/>
        <w:gridCol w:w="564"/>
        <w:gridCol w:w="60"/>
        <w:gridCol w:w="60"/>
        <w:gridCol w:w="125"/>
        <w:gridCol w:w="1130"/>
        <w:gridCol w:w="6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1,154</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Other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affiliates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1,872</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fn19"/>
      <w:bookmarkEnd w:id="25"/>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xml:space="preserve"> Equity Affiliates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 number of investments in entities that engage in the manufacture and supply of vehicular parts (primarily axles and driveshafts).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 xml:space="preserve">Equity method investments at </w:t>
      </w:r>
      <w:r>
        <w:rPr>
          <w:rStyle w:val="Emphasis"/>
          <w:rFonts w:ascii="Times New Roman;Times;serif" w:hAnsi="Times New Roman;Times;serif"/>
          <w:i/>
          <w:sz w:val="20"/>
        </w:rPr>
        <w:t>June 30, 2026</w:t>
      </w:r>
      <w:r>
        <w:rPr>
          <w:rFonts w:ascii="Times New Roman;Times;serif" w:hAnsi="Times New Roman;Times;serif"/>
          <w:sz w:val="20"/>
        </w:rPr>
        <w:t xml:space="preserve"> — </w:t>
      </w:r>
    </w:p>
    <w:p>
      <w:pPr>
        <w:pStyle w:val="TextBody"/>
        <w:bidi w:val="0"/>
        <w:spacing w:before="0" w:after="0"/>
        <w:ind w:left="0" w:right="0" w:hanging="0"/>
        <w:jc w:val="left"/>
        <w:rPr/>
      </w:pPr>
      <w:r>
        <w:rPr/>
        <w:t> </w:t>
      </w:r>
    </w:p>
    <w:tbl>
      <w:tblPr>
        <w:tblW w:w="6075" w:type="dxa"/>
        <w:jc w:val="left"/>
        <w:tblInd w:w="0" w:type="dxa"/>
        <w:tblLayout w:type="fixed"/>
        <w:tblCellMar>
          <w:top w:w="0" w:type="dxa"/>
          <w:left w:w="0" w:type="dxa"/>
          <w:bottom w:w="0" w:type="dxa"/>
          <w:right w:w="0" w:type="dxa"/>
        </w:tblCellMar>
      </w:tblPr>
      <w:tblGrid>
        <w:gridCol w:w="3125"/>
        <w:gridCol w:w="60"/>
        <w:gridCol w:w="1880"/>
        <w:gridCol w:w="60"/>
        <w:gridCol w:w="241"/>
        <w:gridCol w:w="649"/>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Ownership Percentage</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Investment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Dongfeng Dana Axle Co., Ltd.</w:t>
            </w:r>
          </w:p>
        </w:tc>
        <w:tc>
          <w:tcPr>
            <w:tcW w:w="60" w:type="dxa"/>
            <w:tcBorders/>
            <w:shd w:fill="CCEEFF" w:val="clear"/>
            <w:vAlign w:val="center"/>
          </w:tcPr>
          <w:p>
            <w:pPr>
              <w:pStyle w:val="TableContents"/>
              <w:bidi w:val="0"/>
              <w:spacing w:before="0" w:after="283"/>
              <w:ind w:left="0" w:right="0" w:hanging="0"/>
              <w:jc w:val="left"/>
              <w:rPr/>
            </w:pPr>
            <w:r>
              <w:rPr/>
              <w:t> </w:t>
            </w:r>
          </w:p>
        </w:tc>
        <w:tc>
          <w:tcPr>
            <w:tcW w:w="18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ROC-Spicer, Ltd.</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 Ya Investment (HK) Co., Limited</w:t>
            </w:r>
          </w:p>
        </w:tc>
        <w:tc>
          <w:tcPr>
            <w:tcW w:w="6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others as a group</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equity affiliates</w:t>
            </w:r>
          </w:p>
        </w:tc>
        <w:tc>
          <w:tcPr>
            <w:tcW w:w="6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affiliates carried at cost</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affiliates</w:t>
            </w:r>
          </w:p>
        </w:tc>
        <w:tc>
          <w:tcPr>
            <w:tcW w:w="6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112</w:t>
            </w:r>
          </w:p>
        </w:tc>
        <w:tc>
          <w:tcPr>
            <w:tcW w:w="6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firstLine="36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April 25, 2025, </w:t>
      </w:r>
      <w:r>
        <w:rPr>
          <w:rFonts w:ascii="Times New Roman;Times;serif" w:hAnsi="Times New Roman;Times;serif"/>
          <w:sz w:val="20"/>
        </w:rPr>
        <w:t>we sold our 48% ownership interest in Axles India Limited for $43 in cash. The $19 pre-tax gain on the transaction is included in equity in earnings of affiliates.</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6, 2025, </w:t>
      </w:r>
      <w:r>
        <w:rPr>
          <w:rFonts w:ascii="Times New Roman;Times;serif" w:hAnsi="Times New Roman;Times;serif"/>
          <w:sz w:val="20"/>
        </w:rPr>
        <w:t>we sold our ownership interest in Switch Mobility Limited for $10. The $8 pre-tax loss on the transaction is included in other income (expense), net.</w:t>
      </w:r>
    </w:p>
    <w:p>
      <w:pPr>
        <w:pStyle w:val="TextBody"/>
        <w:bidi w:val="0"/>
        <w:spacing w:before="0" w:after="0"/>
        <w:ind w:left="0" w:right="0" w:hanging="0"/>
        <w:jc w:val="left"/>
        <w:rPr>
          <w:color w:val="000000"/>
        </w:rPr>
      </w:pPr>
      <w:r>
        <w:rPr>
          <w:color w:val="000000"/>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6" w:name="item2"/>
      <w:bookmarkEnd w:id="26"/>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 (Dollars in millions)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should be read in conjunction with the financial statements and accompanying notes in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Statements in this report (or otherwise made by us or on our behalf) that are not entirely historical constitute “forward-looking statements” within the meaning of the Private Securities Litigation Reform Act of 1995. Such forward-looking statements can often be identified by words such as “anticipates,” “expects,” “believes,” “intends,” “plans,” “predicts,” “seeks,” “estimates,” “projects,” “outlook,” “may,” “will,” “should,” “would,” “could,” “potential,” “continue,” “ongoing” and similar expressions, variations or negatives of these words. These statements represent the present expectations of Dana Incorporated and its consolidated subsidiaries (Dana) based on our current information and assumptions. Forward-looking statements are inherently subject to risks and uncertainties. Our plans, actions and actual results could differ materially from our present expectations due to a number of factors, including those discussed below and elsewhere in this report and in our other filings with the Securities and Exchange Commission (SEC). All forward-looking statements speak only as of the date made and we undertake no obligation to publicly update or revise any forward-looking statement to reflect events or circumstances that may arise after the date of this report.</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Strategic Actions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Cost reduction initiatives</w:t>
      </w:r>
      <w:r>
        <w:rPr>
          <w:rFonts w:ascii="Times New Roman;Times;serif" w:hAnsi="Times New Roman;Times;serif"/>
          <w:caps w:val="false"/>
          <w:smallCaps w:val="false"/>
          <w:sz w:val="20"/>
        </w:rPr>
        <w:t xml:space="preserve"> — During the fourth quarter of 2024, we announced further actions to support sustained long-term profitability and enhanced cash flow generation. This includes substantial reduction in selling, general and administrative costs and aligning engineering expenses to match current industry dynamics, including the ongoing delay in the adoption of electric vehicles. We expect to deliver annualized savings of $325 through 2026. Approximately $260 of annualized savings was realized through 2025 with an additional $65 to be realized in 2026. See Note 4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Segment realignment</w:t>
      </w:r>
      <w:r>
        <w:rPr>
          <w:rFonts w:ascii="Times New Roman;Times;serif" w:hAnsi="Times New Roman;Times;serif"/>
          <w:caps w:val="false"/>
          <w:smallCaps w:val="false"/>
          <w:sz w:val="20"/>
        </w:rPr>
        <w:t xml:space="preserve"> — Through December 2024, we managed our operations globally through four operating segments. Our Light Vehicle and Power Technologies segments primarily supported light vehicle original equipment manufacturers (OEMs) with products for light trucks, SUVs, CUVs, vans and passenger cars. Our Commercial Vehicles segment supported the OEMs of on-highway commercial vehicles (primarily trucks and buses), while our Off-Highway segment supported OEMs of off-highway vehicles (primarily wheeled vehicles used in construction, mining and agricultural applications). In the first quarter of 2025, our Power Technologies segment was integrated into our Light Vehicle and Commercial Vehicle segments, streamlining the business, enhancing our go-to-market approach and serving our customers more efficiently. The OEM-facing business was integrated into our Light Vehicle segment while the aftermarket business was integrated into our Commercial Vehicle segment. See Note 17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Divestiture of Off-Highway Business</w:t>
      </w:r>
      <w:r>
        <w:rPr>
          <w:rFonts w:ascii="Times New Roman;Times;serif" w:hAnsi="Times New Roman;Times;serif"/>
          <w:caps w:val="false"/>
          <w:smallCaps w:val="false"/>
          <w:sz w:val="20"/>
        </w:rPr>
        <w:t xml:space="preserve"> — Dana has embarked on a strategic plan to focus on our core on-highway markets, creating a more focused and nimble Dana through the divestiture of our Off-Highway business. In June 2025, we entered into a definitive agreement to sell our Off-Highway business to Allison Transmission Holdings, Inc. We analyzed the quantitative and qualitative factors relevant to the divestiture of our Off-Highway business and determined that the conditions for discontinued operations presentation had been met. As such, the financial position, results of operations and cash flows of that business are reported as discontinued operations in the accompanying consolidated financial statements. Prior period amounts have been recast to reflect discontinued operations presentation. The transaction closed on January 1, 2026, with Dana receiving cash proceeds of $2,630. See Note 1 and Note 2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Capital Structure Initiatives</w:t>
      </w:r>
      <w:r>
        <w:rPr>
          <w:rFonts w:ascii="Times New Roman;Times;serif" w:hAnsi="Times New Roman;Times;serif"/>
          <w:caps w:val="false"/>
          <w:smallCaps w:val="false"/>
          <w:sz w:val="20"/>
        </w:rPr>
        <w:t xml:space="preserve"> — Net cash proceeds from the Off-Highway business divestiture were used to pay down debt, strengthening Dana’s financial position, and provide capital returns to shareholders. On January 7, 2026, we purchased, via a net proceeds tender offer, $138 of our November 2027 Notes, $142 of our June 2028 Notes, €141 of our July 2029 Notes ($164 as of January 7, 2026), $173 of our September 2030 Notes, €9 of our July 2031 Notes ($10 as of January 7, 2026) and $152 of our February 2032 Notes at prices equal to 100.00% plus accrued and unpaid interest. On January 8, 2026, we redeemed the remaining $262 of our November 2027 Notes and the remaining $258 of our June 2028 Notes at prices equal to 100.00% plus accrued and unpaid interest. In addition, on January 2, 2026, we repaid the $225 outstanding balance on the Term A Facility and the $390 of outstanding borrowings on our Revolving Facility. See Note 10 of our consolidated financial statements in Item 1 of Part I for additional information. On June 8, 2025, Dana’s board of directors approved a program to provide up to a $1,000 return of capital to shareholders through common stock share repurchases and/or special dividends through the end of 2027. On February 11, 2026, Dana's board of directors increased and extended the share repurchase program to a total of $2,000 through the end of 2030. Through June 30, 2026, we have spent $819 to repurchase 39,943,730 shares under the approved stock repurchase program. See Note 6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Aftermarket opportunities</w:t>
      </w:r>
      <w:r>
        <w:rPr>
          <w:rFonts w:ascii="Times New Roman;Times;serif" w:hAnsi="Times New Roman;Times;serif"/>
          <w:caps w:val="false"/>
          <w:smallCaps w:val="false"/>
          <w:sz w:val="20"/>
        </w:rPr>
        <w:t xml:space="preserve"> — We have a global group dedicated to identifying and developing aftermarket growth opportunities that leverage the capabilities within our existing businesses – targeting increased future aftermarket sales. Powered by recognized brands such as Dana®, Spicer®, Spicer Electrified™, Victor Reinz®, Glaser®, GWB®, Thompson®, Tru-Cool®, SVL®, and Transejes™, Dana delivers a broad range of aftermarket solutions – including genuine, all makes, and value lines – servicing passenger and commercial vehicles across the globe.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Selective acquisitions</w:t>
      </w:r>
      <w:r>
        <w:rPr>
          <w:rFonts w:ascii="Times New Roman;Times;serif" w:hAnsi="Times New Roman;Times;serif"/>
          <w:caps w:val="false"/>
          <w:smallCaps w:val="false"/>
          <w:sz w:val="20"/>
        </w:rPr>
        <w:t xml:space="preserve"> — Although transformational opportunities will be considered when strategically and economically attractive, our acquisition focus is principally directed at “bolt-on” or adjacent acquisition opportunities that have a strategic fit with our existing core businesses, particularly opportunities that support our enterprise strategy and enhance the value proposition of our product offerings. Any potential acquisition will be evaluated in the same manner we currently consider customer program opportunities and other uses of capital – with a disciplined financial approach designed to ensure profitable growth and increased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Eaton Mobility Business</w:t>
      </w:r>
      <w:r>
        <w:rPr>
          <w:rFonts w:ascii="Times New Roman;Times;serif" w:hAnsi="Times New Roman;Times;serif"/>
          <w:caps w:val="false"/>
          <w:smallCaps w:val="false"/>
          <w:sz w:val="20"/>
        </w:rPr>
        <w:t> — On June 10, 2026, Dana entered into definitive agreements with Eaton Corporation plc (Eaton) and certain wholly owned subsidiaries of Eaton, including Mobility (USA) Corporation (the SpinCo), to acquire Eaton’s Vehicle and eMobility business segments (Mobility business). The structure of the transaction is a Reverse Morris Trust. Following the separation of the Mobility business from Eaton, a subsidiary of SpinCo will merge with and into Dana, and Dana will survive the merger as a wholly owned subsidiary of SpinCo. Following the merger, each outstanding share of Dana will be converted into the right to receive one SpinCo share. Prior to or at the closing, a subsidiary of Eaton will sell to Dana 100% of the stock in Royal Precision Holdings Corp. in exchange for cash consideration (the Royal Precision Purchase Price). In the event of an election by Dana, certain specified assets (as defined in the separation agreement) will be purchased by Dana from Eaton and certain of its subsidiaries. When the transaction is completed, former Eaton shareholders will own at least 50.1% and former Dana shareholders will own no more than 49.9% of the outstanding shares of SpinCo common stock on a fully diluted basis. Under the terms of the agreement, Eaton will receive a cash distribution of approximately $1,100, subject to adjustment for cash and indebtedness and reduced by the Royal Precision and other specified assets Purchase Price. The transaction has been unanimously approved by the Boards of Directors of both Dana and Eaton. No vote by Eaton shareholders is required. The transaction is intended to be tax-free to Dana and Eaton shareholders for U.S. federal income tax purposes. The transaction is anticipated to close in the first quarter of 2027, subject to approval by Dana's shareholders and customary closing conditions, including receipt of regulatory approvals. The agreements contain certain customary termination rights for Dana and Eaton, including, without limitation, a right for either party to terminate if the transaction is not completed on or before June 10, 2027. Termination resulting from Dana shareholders voting against the transaction would result in Dana having to reimburse Eaton for certain expenses in an amount not to exceed $20. Termination under specified circumstances would require Dana to pay Eaton a termination fee of $159. In anticipation of the transaction, Mobility (USA) Corporation and Dana became parties to a $2,600 bridge facility, a $350 secured term loan A commitment and a $1,200 secured revolving credit facility commitment. See Note 10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Overview</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Dana, with history dating back to 1904, is headquartered in Maumee, Ohio. We are a world leader in providing power-conveyance and energy-management solutions for on-highway vehicles. The company's portfolio improves the efficiency, performance, and sustainability of light and commercial vehicles. Our technologies include drive systems (axles, driveshafts and transmissions); electrodynamic technologies (motors, inverters, software and control systems, battery-management systems, and fuel cell plates); sealing solutions (gaskets, seals, cam covers, and oil pan modules); thermal-management technologies (transmission and engine oil cooling, battery and electronics cooling, charge air cooling, and thermal-acoustical protective shielding); and digital solutions (active and passive system controls and descriptive and predictive analytics). We serve our global light vehicle and medium/heavy vehicle markets through two business units – Light Vehicle Systems (Light Vehicle) and Commercial Vehicle Systems (Commercial Vehicle). At June 30, 2026, we employed approximately 27,300 people and operated in 24 countries.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External sales by operating segment for the periods ended June 30, 2026 and 2025 are as follows:</w:t>
      </w:r>
    </w:p>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1685"/>
        <w:gridCol w:w="60"/>
        <w:gridCol w:w="125"/>
        <w:gridCol w:w="485"/>
        <w:gridCol w:w="60"/>
        <w:gridCol w:w="60"/>
        <w:gridCol w:w="62"/>
        <w:gridCol w:w="393"/>
        <w:gridCol w:w="185"/>
        <w:gridCol w:w="60"/>
        <w:gridCol w:w="125"/>
        <w:gridCol w:w="485"/>
        <w:gridCol w:w="60"/>
        <w:gridCol w:w="60"/>
        <w:gridCol w:w="62"/>
        <w:gridCol w:w="393"/>
        <w:gridCol w:w="185"/>
        <w:gridCol w:w="60"/>
        <w:gridCol w:w="125"/>
        <w:gridCol w:w="485"/>
        <w:gridCol w:w="60"/>
        <w:gridCol w:w="60"/>
        <w:gridCol w:w="62"/>
        <w:gridCol w:w="393"/>
        <w:gridCol w:w="185"/>
        <w:gridCol w:w="60"/>
        <w:gridCol w:w="125"/>
        <w:gridCol w:w="485"/>
        <w:gridCol w:w="60"/>
        <w:gridCol w:w="60"/>
        <w:gridCol w:w="62"/>
        <w:gridCol w:w="393"/>
        <w:gridCol w:w="18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See Note 17 to our consolidated financial statements in Item 1 of Part I for further financial information about our operating segments.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internet address is www.dana.com. The inclusion of our website address in this report is an inactive textual reference only and is not intended to include or incorporate by reference the information on our website into this report.</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in Our Markets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serve our customers in two core global end markets: light vehicle, primarily full frame trucks and SUVs; and commercial vehicle, including medium-and heavy-duty trucks and busses. Each of our end-markets has unique cyclical dynamics and market drivers. These cycles are impacted by periods of investment where end-user vehicle fleets are refreshed or expanded in reaction to demand usage patterns, regulatory changes, or when the age of vehicles in service reach their useful life. Key market drivers include regional economic growth rates; cost and availability of end customer financing; and industrial output. Our multi-market coverage and broad customer base help provide stability across the cycles while mitigating secular variability.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Light vehicle markets</w:t>
      </w:r>
      <w:r>
        <w:rPr>
          <w:rFonts w:ascii="Times New Roman;Times;serif" w:hAnsi="Times New Roman;Times;serif"/>
          <w:caps w:val="false"/>
          <w:smallCaps w:val="false"/>
          <w:sz w:val="20"/>
        </w:rPr>
        <w:t xml:space="preserve"> — Our driveline business is weighted more heavily to the truck and SUV segments of the light-vehicle market versus the passenger-car segment. Our vehicle content is greater on rear-wheel drive, four-wheel drive, and all-wheel drive vehicles, as well as hybrid and electric vehicles. During 2025, light-truck markets showed marginal improvement across all regions except North America, which was flat compared to 2024. The outlook for 2026 reflects global light-truck production being relatively stable in North America and Asia Pacific, while Europe and South America reflect marginal improvement, in comparison with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Commercial vehicle markets</w:t>
      </w:r>
      <w:r>
        <w:rPr>
          <w:rFonts w:ascii="Times New Roman;Times;serif" w:hAnsi="Times New Roman;Times;serif"/>
          <w:caps w:val="false"/>
          <w:smallCaps w:val="false"/>
          <w:sz w:val="20"/>
        </w:rPr>
        <w:t xml:space="preserve"> — Our primary business is driveline systems for medium and heavy-duty trucks and busses, including the emerging market for hybrid and electric vehicles. Key regional markets are North America, South America (primarily Brazil) and Asia Pacific. During 2025, production of Class-8 and Classes 5-7 trucks in North America both decreased 23% compared to 2024. The outlook for 2026 is for a modest decrease in production of Classes 5-7 trucks and a modest increase in Class-8 truck production compared to the prior year. Outside of North America, production of medium- and heavy-duty trucks in South America decreased 7% compared to 2024, reflecting relatively stable economic conditions in the region. The 2026 outlook for South America reflects medium- and heavy-duty production being relatively flat compared to the prior year. Production of medium- and heavy-duty trucks in Asia Pacific, driven by China and India, increased 12% in 2025. The 2026 outlook for Asia Pacific is for a modest increase in production from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Foreign currency</w:t>
      </w:r>
      <w:r>
        <w:rPr>
          <w:rFonts w:ascii="Times New Roman;Times;serif" w:hAnsi="Times New Roman;Times;serif"/>
          <w:caps w:val="false"/>
          <w:smallCaps w:val="false"/>
          <w:sz w:val="20"/>
        </w:rPr>
        <w:t xml:space="preserve"> — With 44% of our first six months 2026 sales coming from outside the U.S., international currency movements can have a significant effect on our sales and results of operations. The euro zone countries accounted for 33% of our year-to-date 2026 non-U.S. sales, while Brazil, India, Thailand, China, Argentina and South Africa accounted for 14%, 9%, 7%, 7%, 7% and 6%, respectively. International currencies strengthened against the U.S. dollar during the first six months of 2026, increasing sales by $88, with the effects of a stronger euro, Brazilian real, South African rand and Thai baht being partially offset by a weaker Indian rupee.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Argentina has experienced significant inflationary pressures the past few years, contributing to significant devaluation of its currency among other economic challenges. Our Argentine operation supports our Light Vehicle operating segment. Our sales in Argentina for the six months of 2026 of approximately $111 are 3% of our consolidated sales and our net asset exposure related to Argentina was approximately $79, including $21 of net fixed assets, at June 30, 2026. During the second quarter of 2018, we determined that Argentina's economy met the GAAP definition of a highly inflationary economy. In assessing Argentina's economy as highly inflationary we considered its three-year cumulative inflation rate along with other factors. As a result, effective July 1, 2018, the U.S. dollar is the functional currency for our Argentine operations, rather than the Argentine peso. Beginning July 1, 2018, peso-denominated monetary assets and liabilities are remeasured into U.S. dollars using current Argentine peso exchange rates with resulting translation gains or losses included in results of operations. Nonmonetary assets and liabilities are remeasured into U.S. dollar using historic Argentine peso exchange rates.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Commodity costs</w:t>
      </w:r>
      <w:r>
        <w:rPr>
          <w:rFonts w:ascii="Times New Roman;Times;serif" w:hAnsi="Times New Roman;Times;serif"/>
          <w:caps w:val="false"/>
          <w:smallCaps w:val="false"/>
          <w:sz w:val="20"/>
        </w:rPr>
        <w:t> — The cost of our products may be significantly impacted by changes in raw material commodity prices, the most important to us being those of various grades of steel, aluminum, copper, brass and rare earth materials. The effects of changes in commodity prices are reflected directly in our purchases of commodities and indirectly through our purchases of products such as castings, forgings, bearings, batteries and component parts that include commodities. Most of our major customer agreements provide for the sharing of significant commodity price changes with those customers based on the movement in various published commodity indexes. Where such formal agreements are not present, we have historically been successful implementing price adjustments that largely compensate for the inflationary impact of material costs. Material cost changes will customarily have some impact on our financial results as customer pricing adjustments typically lag commodity price changes. Higher year-over-year commodity prices decreased earnings during the second quarter and first half of 2026 by $15 and $23, respectively. Material cost recovery pricing actions increased earnings in the second quarter and first half of 2026 by $12 and $18,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Earnings and Cash Flow Outlook</w:t>
      </w:r>
    </w:p>
    <w:p>
      <w:pPr>
        <w:pStyle w:val="TextBody"/>
        <w:bidi w:val="0"/>
        <w:spacing w:before="0" w:after="0"/>
        <w:ind w:left="0" w:right="0" w:hanging="0"/>
        <w:jc w:val="left"/>
        <w:rPr/>
      </w:pPr>
      <w:r>
        <w:rPr/>
        <w:t> </w:t>
      </w:r>
    </w:p>
    <w:tbl>
      <w:tblPr>
        <w:tblW w:w="3355" w:type="dxa"/>
        <w:jc w:val="left"/>
        <w:tblInd w:w="0" w:type="dxa"/>
        <w:tblLayout w:type="fixed"/>
        <w:tblCellMar>
          <w:top w:w="0" w:type="dxa"/>
          <w:left w:w="0" w:type="dxa"/>
          <w:bottom w:w="0" w:type="dxa"/>
          <w:right w:w="0" w:type="dxa"/>
        </w:tblCellMar>
      </w:tblPr>
      <w:tblGrid>
        <w:gridCol w:w="2045"/>
        <w:gridCol w:w="1310"/>
      </w:tblGrid>
      <w:tr>
        <w:trPr/>
        <w:tc>
          <w:tcPr>
            <w:tcW w:w="2045" w:type="dxa"/>
            <w:tcBorders/>
            <w:shd w:fill="FFFFFF" w:val="clear"/>
            <w:vAlign w:val="center"/>
          </w:tcPr>
          <w:p>
            <w:pPr>
              <w:pStyle w:val="TableContents"/>
              <w:bidi w:val="0"/>
              <w:spacing w:before="0" w:after="283"/>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 Outlook</w:t>
            </w:r>
          </w:p>
        </w:tc>
      </w:tr>
      <w:tr>
        <w:trP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$7,650 - $7,850</w:t>
            </w:r>
          </w:p>
        </w:tc>
      </w:tr>
      <w:tr>
        <w:trPr/>
        <w:tc>
          <w:tcPr>
            <w:tcW w:w="20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13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$800 - $850</w:t>
            </w:r>
          </w:p>
        </w:tc>
      </w:tr>
      <w:tr>
        <w:trP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Free Cash Flow</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$275 - $375</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and adjusted free cash flow are non-GAAP financial measures. See the Non-GAAP Financial Measures discussion below for definitions of our non-GAAP financial measures and reconciliations to the most directly comparable U.S. generally accepted accounting principles (GAAP) measures. We have not provided a reconciliation of our adjusted EBITDA outlook to the most comparable GAAP measure of net income. Providing net income guidance is potentially misleading and not practical given the difficulty of projecting event driven transactional and other non-core operating items that are included in net income,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2026 sales outlook is $7,650 to $7,850, reflecting relatively stable global market demand, $200 of net new business backlog, dissipation of the tariff recovery lag experienced in 2025 and currency tailwinds. Based on our current sales and exchange rate outlook for 2026, we expect international currencies to be a modest tailwind to sales primarily due to a stronger euro. At sales levels in our current outlook for 2026, a 5% movement on the euro would impact our annual sales by approximately $65. A 5% change on the Indian rupee or Brazilian real rates would impact our annual sales in each of those countries by approximately $15. A 5% change on the Chinese renminbi rate would impact our annual sales by approximately $10. At our current sales outlook for 2026, we expect full year 2026 adjusted EBITDA to approximate $800 to $850. Adjusted EBITDA margin is expected to be 10.6% at the midpoint of our guidance range, a 250 basis-point improvement over 2025, reflecting the impact of significant cost savings actions, improved operational performance and favorable product mix, partially offset by the impact of net material cost recoveries and net inflationary cost recoveries. We expect to generate free cash flow of $325 at the midpoint of our guidance range reflecting the benefit of higher year-over-year adjusted EBITDA and lower income tax and interest payments, partially offset by higher capital spending.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Among our operational and strategic initiatives is continued focus on and investment in product technology – delivering products and technology that are key to bringing solutions to issues of paramount importance to our customers. Our success on this front is measured, in part, by our sales backlog – net new business awarded that will be launching over the next three years, adding to our base annual sales. This backlog excludes replacement business and represents incremental sales associated with new programs for which we have received formal customer awards. At June 30, 2026, our sales backlog of net new business for the 2026 through 2028 period was $950. We expect to realize $200 of our sales backlog in 2026, with incremental sales backlog of $300 and $450 being realized in 2027 and 2028, respectively.</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Consolidated Results of Operations (Second Quarter, 2026 versus 2025)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628"/>
        <w:gridCol w:w="60"/>
        <w:gridCol w:w="125"/>
        <w:gridCol w:w="485"/>
        <w:gridCol w:w="80"/>
        <w:gridCol w:w="60"/>
        <w:gridCol w:w="138"/>
        <w:gridCol w:w="876"/>
        <w:gridCol w:w="185"/>
        <w:gridCol w:w="60"/>
        <w:gridCol w:w="125"/>
        <w:gridCol w:w="485"/>
        <w:gridCol w:w="80"/>
        <w:gridCol w:w="60"/>
        <w:gridCol w:w="138"/>
        <w:gridCol w:w="876"/>
        <w:gridCol w:w="185"/>
        <w:gridCol w:w="60"/>
        <w:gridCol w:w="425"/>
        <w:gridCol w:w="992"/>
        <w:gridCol w:w="82"/>
      </w:tblGrid>
      <w:tr>
        <w:trPr/>
        <w:tc>
          <w:tcPr>
            <w:tcW w:w="4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7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Dollars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Dollars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Increase/ (Decrease)</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485" w:type="dxa"/>
            <w:tcBorders/>
            <w:shd w:fill="CCEEFF" w:val="clear"/>
            <w:vAlign w:val="center"/>
          </w:tcPr>
          <w:p>
            <w:pPr>
              <w:pStyle w:val="TableContents"/>
              <w:bidi w:val="0"/>
              <w:spacing w:before="0" w:after="283"/>
              <w:ind w:left="0" w:right="0" w:hanging="0"/>
              <w:jc w:val="right"/>
              <w:rPr>
                <w:sz w:val="20"/>
              </w:rPr>
            </w:pPr>
            <w:r>
              <w:rPr>
                <w:sz w:val="20"/>
              </w:rPr>
              <w:t>2,010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485" w:type="dxa"/>
            <w:tcBorders/>
            <w:shd w:fill="CCEEFF" w:val="clear"/>
            <w:vAlign w:val="center"/>
          </w:tcPr>
          <w:p>
            <w:pPr>
              <w:pStyle w:val="TableContents"/>
              <w:bidi w:val="0"/>
              <w:spacing w:before="0" w:after="283"/>
              <w:ind w:left="0" w:right="0" w:hanging="0"/>
              <w:jc w:val="right"/>
              <w:rPr>
                <w:sz w:val="20"/>
              </w:rPr>
            </w:pPr>
            <w:r>
              <w:rPr>
                <w:sz w:val="20"/>
              </w:rPr>
              <w:t>1,935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sz w:val="20"/>
              </w:rPr>
            </w:pPr>
            <w:r>
              <w:rPr>
                <w:sz w:val="20"/>
              </w:rPr>
              <w:t>$</w:t>
            </w:r>
          </w:p>
        </w:tc>
        <w:tc>
          <w:tcPr>
            <w:tcW w:w="992" w:type="dxa"/>
            <w:tcBorders/>
            <w:shd w:fill="CCEEFF" w:val="clear"/>
            <w:vAlign w:val="center"/>
          </w:tcPr>
          <w:p>
            <w:pPr>
              <w:pStyle w:val="TableContents"/>
              <w:bidi w:val="0"/>
              <w:spacing w:before="0" w:after="283"/>
              <w:ind w:left="0" w:right="0" w:hanging="0"/>
              <w:jc w:val="right"/>
              <w:rPr>
                <w:sz w:val="20"/>
              </w:rPr>
            </w:pPr>
            <w:r>
              <w:rPr>
                <w:sz w:val="20"/>
              </w:rPr>
              <w:t>75</w:t>
            </w:r>
          </w:p>
        </w:tc>
        <w:tc>
          <w:tcPr>
            <w:tcW w:w="82" w:type="dxa"/>
            <w:tcBorders/>
            <w:shd w:fill="CCEE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sz w:val="20"/>
              </w:rPr>
            </w:pPr>
            <w:r>
              <w:rPr>
                <w:sz w:val="20"/>
              </w:rPr>
              <w:t>89.6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sz w:val="20"/>
              </w:rPr>
            </w:pPr>
            <w:r>
              <w:rPr>
                <w:sz w:val="20"/>
              </w:rPr>
              <w:t>92.9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sz w:val="20"/>
              </w:rPr>
            </w:pPr>
            <w:r>
              <w:rPr>
                <w:sz w:val="20"/>
              </w:rPr>
              <w:t>10.4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sz w:val="20"/>
              </w:rPr>
            </w:pPr>
            <w:r>
              <w:rPr>
                <w:sz w:val="20"/>
              </w:rPr>
              <w:t>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ind w:left="0" w:right="0" w:hanging="0"/>
              <w:jc w:val="left"/>
              <w:rPr/>
            </w:pPr>
            <w:r>
              <w:rPr/>
              <w:t> </w:t>
            </w:r>
          </w:p>
        </w:tc>
        <w:tc>
          <w:tcPr>
            <w:tcW w:w="992" w:type="dxa"/>
            <w:tcBorders/>
            <w:shd w:fill="CCEEFF" w:val="clear"/>
            <w:vAlign w:val="center"/>
          </w:tcPr>
          <w:p>
            <w:pPr>
              <w:pStyle w:val="TableContents"/>
              <w:bidi w:val="0"/>
              <w:spacing w:before="0" w:after="283"/>
              <w:ind w:left="0" w:right="0" w:hanging="0"/>
              <w:jc w:val="right"/>
              <w:rPr>
                <w:sz w:val="20"/>
              </w:rPr>
            </w:pPr>
            <w:r>
              <w:rPr>
                <w:sz w:val="20"/>
              </w:rPr>
              <w:t>72</w:t>
            </w:r>
          </w:p>
        </w:tc>
        <w:tc>
          <w:tcPr>
            <w:tcW w:w="82" w:type="dxa"/>
            <w:tcBorders/>
            <w:shd w:fill="CCEE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sz w:val="20"/>
              </w:rPr>
            </w:pPr>
            <w:r>
              <w:rPr>
                <w:sz w:val="20"/>
              </w:rPr>
              <w:t>5.2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sz w:val="20"/>
              </w:rPr>
            </w:pPr>
            <w:r>
              <w:rPr>
                <w:sz w:val="20"/>
              </w:rPr>
              <w:t>5.1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sz w:val="20"/>
              </w:rPr>
            </w:pPr>
            <w:r>
              <w:rPr>
                <w:sz w:val="20"/>
              </w:rPr>
              <w:t>5</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ind w:left="0" w:right="0" w:hanging="0"/>
              <w:jc w:val="left"/>
              <w:rPr/>
            </w:pPr>
            <w:r>
              <w:rPr/>
              <w:t> </w:t>
            </w:r>
          </w:p>
        </w:tc>
        <w:tc>
          <w:tcPr>
            <w:tcW w:w="992" w:type="dxa"/>
            <w:tcBorders/>
            <w:shd w:fill="CCEEFF" w:val="clear"/>
            <w:vAlign w:val="center"/>
          </w:tcPr>
          <w:p>
            <w:pPr>
              <w:pStyle w:val="TableContents"/>
              <w:bidi w:val="0"/>
              <w:spacing w:before="0" w:after="283"/>
              <w:ind w:left="0" w:right="0" w:hanging="0"/>
              <w:jc w:val="right"/>
              <w:rPr>
                <w:sz w:val="20"/>
              </w:rPr>
            </w:pPr>
            <w:r>
              <w:rPr>
                <w:sz w:val="20"/>
              </w:rPr>
              <w:t>(1</w:t>
            </w:r>
          </w:p>
        </w:tc>
        <w:tc>
          <w:tcPr>
            <w:tcW w:w="82" w:type="dxa"/>
            <w:tcBorders/>
            <w:shd w:fill="CCEEFF" w:val="clear"/>
            <w:vAlign w:val="center"/>
          </w:tcPr>
          <w:p>
            <w:pPr>
              <w:pStyle w:val="TableContents"/>
              <w:bidi w:val="0"/>
              <w:spacing w:before="0" w:after="283"/>
              <w:jc w:val="left"/>
              <w:rPr>
                <w:sz w:val="20"/>
              </w:rPr>
            </w:pPr>
            <w:r>
              <w:rPr>
                <w:sz w:val="20"/>
              </w:rPr>
              <w:t>)</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sz w:val="20"/>
              </w:rPr>
            </w:pPr>
            <w:r>
              <w:rPr>
                <w:sz w:val="20"/>
              </w:rPr>
              <w:t>(2</w:t>
            </w:r>
          </w:p>
        </w:tc>
        <w:tc>
          <w:tcPr>
            <w:tcW w:w="82" w:type="dxa"/>
            <w:tcBorders/>
            <w:shd w:fill="FFFFFF" w:val="clear"/>
            <w:vAlign w:val="center"/>
          </w:tcPr>
          <w:p>
            <w:pPr>
              <w:pStyle w:val="TableContents"/>
              <w:bidi w:val="0"/>
              <w:spacing w:before="0" w:after="283"/>
              <w:jc w:val="left"/>
              <w:rPr>
                <w:sz w:val="20"/>
              </w:rPr>
            </w:pPr>
            <w:r>
              <w:rPr>
                <w:sz w:val="20"/>
              </w:rPr>
              <w:t>)</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4628" w:type="dxa"/>
            <w:tcBorders/>
            <w:shd w:fill="FFFFFF" w:val="clear"/>
            <w:vAlign w:val="center"/>
          </w:tcPr>
          <w:p>
            <w:pPr>
              <w:pStyle w:val="TableContents"/>
              <w:bidi w:val="0"/>
              <w:spacing w:before="0" w:after="0"/>
              <w:ind w:left="180" w:right="0" w:hanging="180"/>
              <w:jc w:val="left"/>
              <w:rPr>
                <w:rFonts w:ascii="Times New Roman;Times;serif" w:hAnsi="Times New Roman;Times;serif"/>
                <w:b w:val="false"/>
                <w:sz w:val="20"/>
              </w:rPr>
            </w:pPr>
            <w:r>
              <w:rPr>
                <w:rFonts w:ascii="Times New Roman;Times;serif" w:hAnsi="Times New Roman;Times;serif"/>
                <w:b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sz w:val="20"/>
              </w:rPr>
            </w:pPr>
            <w:r>
              <w:rPr>
                <w:sz w:val="20"/>
              </w:rPr>
              <w:t>60</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ind w:left="0" w:right="0" w:hanging="0"/>
              <w:jc w:val="left"/>
              <w:rPr/>
            </w:pPr>
            <w:r>
              <w:rPr/>
              <w:t> </w:t>
            </w:r>
          </w:p>
        </w:tc>
        <w:tc>
          <w:tcPr>
            <w:tcW w:w="992" w:type="dxa"/>
            <w:tcBorders/>
            <w:shd w:fill="CCEEFF" w:val="clear"/>
            <w:vAlign w:val="center"/>
          </w:tcPr>
          <w:p>
            <w:pPr>
              <w:pStyle w:val="TableContents"/>
              <w:bidi w:val="0"/>
              <w:spacing w:before="0" w:after="283"/>
              <w:ind w:left="0" w:right="0" w:hanging="0"/>
              <w:jc w:val="right"/>
              <w:rPr>
                <w:sz w:val="20"/>
              </w:rPr>
            </w:pPr>
            <w:r>
              <w:rPr>
                <w:sz w:val="20"/>
              </w:rPr>
              <w:t>1</w:t>
            </w:r>
          </w:p>
        </w:tc>
        <w:tc>
          <w:tcPr>
            <w:tcW w:w="82" w:type="dxa"/>
            <w:tcBorders/>
            <w:shd w:fill="CCEE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628" w:type="dxa"/>
            <w:tcBorders/>
            <w:shd w:fill="CCEEFF" w:val="clear"/>
            <w:vAlign w:val="center"/>
          </w:tcPr>
          <w:p>
            <w:pPr>
              <w:pStyle w:val="TableContents"/>
              <w:bidi w:val="0"/>
              <w:spacing w:before="0" w:after="0"/>
              <w:ind w:left="180" w:right="0" w:hanging="180"/>
              <w:jc w:val="left"/>
              <w:rPr>
                <w:rFonts w:ascii="Times New Roman;Times;serif" w:hAnsi="Times New Roman;Times;serif"/>
                <w:b w:val="false"/>
                <w:sz w:val="20"/>
              </w:rPr>
            </w:pPr>
            <w:r>
              <w:rPr>
                <w:rFonts w:ascii="Times New Roman;Times;serif" w:hAnsi="Times New Roman;Times;serif"/>
                <w:b w:val="false"/>
                <w:sz w:val="20"/>
              </w:rPr>
              <w:t>Earnings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sz w:val="20"/>
              </w:rPr>
            </w:pPr>
            <w:r>
              <w:rPr>
                <w:sz w:val="20"/>
              </w:rPr>
              <w:t>(25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ind w:left="0" w:right="0" w:hanging="0"/>
              <w:jc w:val="left"/>
              <w:rPr/>
            </w:pPr>
            <w:r>
              <w:rPr/>
              <w:t> </w:t>
            </w:r>
          </w:p>
        </w:tc>
        <w:tc>
          <w:tcPr>
            <w:tcW w:w="992" w:type="dxa"/>
            <w:tcBorders/>
            <w:shd w:fill="CCEEFF" w:val="clear"/>
            <w:vAlign w:val="center"/>
          </w:tcPr>
          <w:p>
            <w:pPr>
              <w:pStyle w:val="TableContents"/>
              <w:bidi w:val="0"/>
              <w:spacing w:before="0" w:after="283"/>
              <w:ind w:left="0" w:right="0" w:hanging="0"/>
              <w:jc w:val="right"/>
              <w:rPr>
                <w:sz w:val="20"/>
              </w:rPr>
            </w:pPr>
            <w:r>
              <w:rPr>
                <w:sz w:val="20"/>
              </w:rPr>
              <w:t>84</w:t>
            </w:r>
          </w:p>
        </w:tc>
        <w:tc>
          <w:tcPr>
            <w:tcW w:w="82" w:type="dxa"/>
            <w:tcBorders/>
            <w:shd w:fill="CCEEFF" w:val="cle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sz w:val="20"/>
              </w:rPr>
            </w:pPr>
            <w:r>
              <w:rPr>
                <w:sz w:val="20"/>
              </w:rPr>
              <w:t>44</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Equity in earnings of affiliates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sz w:val="20"/>
              </w:rPr>
            </w:pPr>
            <w:r>
              <w:rPr>
                <w:sz w:val="20"/>
              </w:rPr>
              <w:t>(12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sz w:val="20"/>
              </w:rPr>
            </w:pPr>
            <w:r>
              <w:rPr>
                <w:sz w:val="20"/>
              </w:rPr>
              <w:t>23</w:t>
            </w:r>
          </w:p>
        </w:tc>
        <w:tc>
          <w:tcPr>
            <w:tcW w:w="82" w:type="dxa"/>
            <w:tcBorders/>
            <w:shd w:fill="FFFFFF" w:val="clear"/>
            <w:vAlign w:val="center"/>
          </w:tcPr>
          <w:p>
            <w:pPr>
              <w:pStyle w:val="TableContents"/>
              <w:bidi w:val="0"/>
              <w:spacing w:before="0" w:after="283"/>
              <w:jc w:val="left"/>
              <w:rPr/>
            </w:pPr>
            <w:r>
              <w:rPr/>
              <w:t> </w:t>
            </w:r>
          </w:p>
        </w:tc>
      </w:tr>
      <w:tr>
        <w:trPr/>
        <w:tc>
          <w:tcPr>
            <w:tcW w:w="46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from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43</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(54</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sz w:val="20"/>
              </w:rPr>
            </w:pPr>
            <w:r>
              <w:rPr>
                <w:sz w:val="20"/>
              </w:rPr>
              <w:t>)</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sz w:val="20"/>
              </w:rPr>
            </w:pPr>
            <w:r>
              <w:rPr>
                <w:sz w:val="20"/>
              </w:rPr>
              <w:t>(31</w:t>
            </w:r>
          </w:p>
        </w:tc>
        <w:tc>
          <w:tcPr>
            <w:tcW w:w="82" w:type="dxa"/>
            <w:tcBorders/>
            <w:shd w:fill="FFFFFF" w:val="clear"/>
            <w:vAlign w:val="center"/>
          </w:tcPr>
          <w:p>
            <w:pPr>
              <w:pStyle w:val="TableContents"/>
              <w:bidi w:val="0"/>
              <w:spacing w:before="0" w:after="283"/>
              <w:jc w:val="left"/>
              <w:rPr>
                <w:sz w:val="20"/>
              </w:rPr>
            </w:pPr>
            <w:r>
              <w:rPr>
                <w:sz w:val="20"/>
              </w:rPr>
              <w:t>)</w:t>
            </w:r>
          </w:p>
        </w:tc>
      </w:tr>
      <w:tr>
        <w:trPr/>
        <w:tc>
          <w:tcPr>
            <w:tcW w:w="4628" w:type="dxa"/>
            <w:tcBorders/>
            <w:shd w:fill="CCEEFF" w:val="clear"/>
            <w:vAlign w:val="center"/>
          </w:tcPr>
          <w:p>
            <w:pPr>
              <w:pStyle w:val="TableContents"/>
              <w:bidi w:val="0"/>
              <w:spacing w:before="0" w:after="0"/>
              <w:ind w:left="360" w:right="0" w:hanging="180"/>
              <w:jc w:val="left"/>
              <w:rPr>
                <w:rFonts w:ascii="Times New Roman;Times;serif" w:hAnsi="Times New Roman;Times;serif"/>
                <w:b w:val="false"/>
                <w:sz w:val="20"/>
              </w:rPr>
            </w:pPr>
            <w:r>
              <w:rPr>
                <w:rFonts w:ascii="Times New Roman;Times;serif" w:hAnsi="Times New Roman;Times;serif"/>
                <w:b w:val="false"/>
                <w:sz w:val="20"/>
              </w:rPr>
              <w:t>Less: Noncontrolling interests net income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28"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the parent company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Sales</w:t>
      </w:r>
      <w:r>
        <w:rPr>
          <w:rFonts w:ascii="Times New Roman;Times;serif" w:hAnsi="Times New Roman;Times;serif"/>
          <w:sz w:val="20"/>
        </w:rPr>
        <w:t xml:space="preserve"> — The following table shows changes in our sales by geographic region.</w:t>
      </w:r>
    </w:p>
    <w:p>
      <w:pPr>
        <w:pStyle w:val="TextBody"/>
        <w:bidi w:val="0"/>
        <w:spacing w:before="0" w:after="0"/>
        <w:ind w:left="0" w:right="0" w:hanging="0"/>
        <w:jc w:val="left"/>
        <w:rPr/>
      </w:pPr>
      <w:r>
        <w:rPr/>
        <w:t> </w:t>
      </w:r>
    </w:p>
    <w:tbl>
      <w:tblPr>
        <w:tblW w:w="9021" w:type="dxa"/>
        <w:jc w:val="left"/>
        <w:tblInd w:w="0" w:type="dxa"/>
        <w:tblLayout w:type="fixed"/>
        <w:tblCellMar>
          <w:top w:w="0" w:type="dxa"/>
          <w:left w:w="0" w:type="dxa"/>
          <w:bottom w:w="0" w:type="dxa"/>
          <w:right w:w="0" w:type="dxa"/>
        </w:tblCellMar>
      </w:tblPr>
      <w:tblGrid>
        <w:gridCol w:w="1220"/>
        <w:gridCol w:w="60"/>
        <w:gridCol w:w="161"/>
        <w:gridCol w:w="626"/>
        <w:gridCol w:w="77"/>
        <w:gridCol w:w="77"/>
        <w:gridCol w:w="161"/>
        <w:gridCol w:w="626"/>
        <w:gridCol w:w="60"/>
        <w:gridCol w:w="60"/>
        <w:gridCol w:w="487"/>
        <w:gridCol w:w="1137"/>
        <w:gridCol w:w="80"/>
        <w:gridCol w:w="60"/>
        <w:gridCol w:w="482"/>
        <w:gridCol w:w="887"/>
        <w:gridCol w:w="130"/>
        <w:gridCol w:w="97"/>
        <w:gridCol w:w="298"/>
        <w:gridCol w:w="622"/>
        <w:gridCol w:w="97"/>
        <w:gridCol w:w="97"/>
        <w:gridCol w:w="471"/>
        <w:gridCol w:w="868"/>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Change Due To</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Divestiture</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Organic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4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77"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3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4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4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in the second quarter of 2026 were $75 higher than 2025. Stronger international currencies increased sales by $24, principally due to a stronger Brazilian real, euro and South African rand, partially offset by a weaker India rupee. The organic sales increase of $51 primarily resulted from pricing actions and recoveries, including material commodity, tariff and inflationary costs adjustments, higher full-frame light-truck production volumes in North America and the conversion of sales backlog, partially offset by lower medium/heavy-truck production volumes in North America and lower electric-vehicle product orders in Europe and Asia Pacific. Pricing actions and recoveries, including material commodity, tariff and inflationary costs adjustments, increased sales by $45.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North America organic sales increase of 4% was driven principally by net customer pricing, tariff and cost recovery actions, higher full-frame light-truck production volumes and the conversion of sales backlog, partially offset by lower medium- and heavy-truck production volumes. Second quarter 2026 full-frame light-truck production was up 6%. Second quarter 2026 Class 8 and Classes 5-7 production were down 8% and 10%, respectively. Excluding currency effects, sales in Europe were up 3% compared to 2025, reflecting net customer pricing and cost recovery actions. Excluding currency effects, sales in South America were up 2% compared to 2025, reflecting higher year-over-year medium/heavy-truck production volumes. Excluding currency effects, sales in Asia Pacific decreased 3% reflecting lower electric vehicle-related product orders, partially offset by a modest improvement in year-over-year second quarter medium/heavy-truck production volumes.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Cost of sales and gross margin</w:t>
      </w:r>
      <w:r>
        <w:rPr>
          <w:rFonts w:ascii="Times New Roman;Times;serif" w:hAnsi="Times New Roman;Times;serif"/>
          <w:sz w:val="20"/>
        </w:rPr>
        <w:t xml:space="preserve"> — Cost of sales for the second quarter of 2026 increased $3 when compared to 2025. Cost of sales as a percent of sales was 330 basis points lower than in the previous year. Incremental margins from cost reduction initiatives of $18, higher material cost savings of $24, operational efficiencies of $6, lower incentive compensation expense of $3, lower premium freight costs of $2 and favorable product mix were partially offset by non-material inflation of $26, commodity cost increases of $15, higher spending on electrification initiatives of $7, higher warranty expense of $1 and higher program launch costs of $1. Commodity costs are primarily driven by certain grades of steel and aluminum. Non-material inflation includes higher labor, energy and transportation rates.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 of $210 for the second quarter of 2026 increased $72 from 2025. Gross margin as a percent of sales was 10.4% in the second quarter of 2026, 330 basis points higher than in 2025. The improvement in gross margin as a percent of sales was driven principally by the cost of sales factors referenced above. Material cost recovery mechanisms with our customers lag material cost changes by our suppliers by approximately 90 days. The recovery of non-material inflation is not specifically provided for in our current contracts with customers resulting in prolonged negotiations and indeterminate recoveries.</w:t>
      </w:r>
    </w:p>
    <w:p>
      <w:pPr>
        <w:pStyle w:val="TextBody"/>
        <w:bidi w:val="0"/>
        <w:spacing w:before="0" w:after="0"/>
        <w:ind w:left="0" w:right="0" w:firstLine="36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 — SG&amp;A expenses in the second quarter of 2026 were $104 (5.2% of sales) as compared to $99 (5.1% of sales) in the second quarter of 2025. SG&amp;A expenses were $5 higher in the second quarter of 2026 primarily due to higher legal and professional services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Amortization of intangibles</w:t>
      </w:r>
      <w:r>
        <w:rPr>
          <w:rFonts w:ascii="Times New Roman" w:hAnsi="Times New Roman"/>
          <w:sz w:val="20"/>
        </w:rPr>
        <w:t xml:space="preserve"> — Amortization expense was $1 in the second quarter of 2026 and $2 in the second quarter of 2025. See Note 3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Restruct</w:t>
      </w:r>
      <w:r>
        <w:rPr>
          <w:rFonts w:ascii="Times New Roman" w:hAnsi="Times New Roman"/>
          <w:i/>
          <w:sz w:val="20"/>
          <w:shd w:fill="FFFFFF" w:val="clear"/>
        </w:rPr>
        <w:t>uring charges, net</w:t>
      </w:r>
      <w:r>
        <w:rPr>
          <w:rFonts w:ascii="Times New Roman" w:hAnsi="Times New Roman"/>
          <w:sz w:val="20"/>
          <w:shd w:fill="FFFFFF" w:val="clear"/>
        </w:rPr>
        <w:t> — Net restructuring charges were $9 in the second quarter of 2026 and $11 in the second quarter of 2025. See Note 4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 The following table shows the major components of other income (expense), net.</w:t>
      </w:r>
    </w:p>
    <w:p>
      <w:pPr>
        <w:pStyle w:val="TextBody"/>
        <w:bidi w:val="0"/>
        <w:spacing w:before="0" w:after="0"/>
        <w:ind w:left="0" w:right="0" w:hanging="0"/>
        <w:jc w:val="left"/>
        <w:rPr/>
      </w:pPr>
      <w:r>
        <w:rPr/>
        <w:t> </w:t>
      </w:r>
    </w:p>
    <w:tbl>
      <w:tblPr>
        <w:tblW w:w="6507" w:type="dxa"/>
        <w:jc w:val="left"/>
        <w:tblInd w:w="0" w:type="dxa"/>
        <w:tblLayout w:type="fixed"/>
        <w:tblCellMar>
          <w:top w:w="0" w:type="dxa"/>
          <w:left w:w="0" w:type="dxa"/>
          <w:bottom w:w="0" w:type="dxa"/>
          <w:right w:w="0" w:type="dxa"/>
        </w:tblCellMar>
      </w:tblPr>
      <w:tblGrid>
        <w:gridCol w:w="4640"/>
        <w:gridCol w:w="60"/>
        <w:gridCol w:w="222"/>
        <w:gridCol w:w="517"/>
        <w:gridCol w:w="142"/>
        <w:gridCol w:w="107"/>
        <w:gridCol w:w="222"/>
        <w:gridCol w:w="517"/>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assistance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transaction expenses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vehicle program termination charges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divestiture of ownership interests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services income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2"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 relate primarily to costs incurred in connection with acquisition and divestiture related activities, including costs to complete the transaction and post-closing integration costs, and other strategic initiatives. Strategic transaction expenses in 2026 were primarily attributable to the potential acquisition of Eaton's Mobility business. See Note 1 of our consolidated financial statements in Item 1 of Part I for additional information. During the second quarter of 2026, we recorded $3 of charges, including impairment and loss on disposition of property, plant and equipment, associated with certain electric vehicle programs that were either cancelled by the customer or that have experienced a precipitous decline in program volumes. On January 1, 2026, we sold our Off-Highway business to Allison Transmission Holdings, Inc.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2 to our consolidated financial statements in Item 1 of Part I for additional information. On June 6, 2025, we sold our ownership interest in Switch Mobility Limited, recognizing an $8 pre-tax loss on the transaction. See Note 18 to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Interest income and interest expense </w:t>
      </w:r>
      <w:r>
        <w:rPr>
          <w:rFonts w:ascii="Times New Roman;Times;serif" w:hAnsi="Times New Roman;Times;serif"/>
          <w:caps w:val="false"/>
          <w:smallCaps w:val="false"/>
          <w:sz w:val="20"/>
        </w:rPr>
        <w:t>— Interest income was $4 in the second quarter of 2026 and $3 in the second quarter of 2025. Interest expense decreased from $44 in the second quarter of 2025 to $21 in the second quarter of 2026, reflecting lower average outstanding borrowings. See Note 10 of our consolidated financial statements in Item 1 of Part I for additional information. Average effective interest rates, inclusive of amortization of debt issuance costs, approximated 6.2% in the second quarter of 2026 and 5.8%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 We reported income tax expense of $54 and $10 for the second quarters of 2026 and 2025, respectively. Our effective tax rates were 92% and (40)% for the second quarters of 2026 and 2025, respectively. During the second quarter of 2025, we recorded tax expense of $6 resulting from the sale of Dana's ownership interest in an equity method investment.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may vary significantly due to fluctuations in the amounts and sources, both foreign and domestic, of pretax income and changes in the amounts of non-deductible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in earnings of affiliates</w:t>
      </w:r>
      <w:r>
        <w:rPr>
          <w:rFonts w:ascii="Times New Roman;Times;serif" w:hAnsi="Times New Roman;Times;serif"/>
          <w:sz w:val="20"/>
        </w:rPr>
        <w:t xml:space="preserve"> — Net earnings from equity investments was $6 in the second quarter of 2026 and $23 in the second quarter of 2025. Net earnings from Dongfeng Dana Axle Co., Ltd. (DDAC) were $5 in the second quarter of 2026 and $4 in the second quarter of 2025. On April 25, 2025, we sold our ownership interest in Axles India Limited, recognizing a $19 pre-tax gain on the transaction. See Note 18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Net income from discontinued operations</w:t>
      </w:r>
      <w:r>
        <w:rPr>
          <w:rFonts w:ascii="Times New Roman;Times;serif" w:hAnsi="Times New Roman;Times;serif"/>
          <w:sz w:val="20"/>
        </w:rPr>
        <w:t> — Net income (loss) from discontinued operations was a loss of $11 in the second quarter of 2026 and income of $43 in the second quarter of 2025. The Off-Highway business sale transaction closed on January 1, 2026. The Off-Highway business's Mexican operations continue to be presented as discontinued operations, as those operations have not yet legally transferred to the buyer. See Note 2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Consolidated Results of Operations (Year-to-Date Quarter, 2026 versus 2025)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637"/>
        <w:gridCol w:w="60"/>
        <w:gridCol w:w="125"/>
        <w:gridCol w:w="485"/>
        <w:gridCol w:w="80"/>
        <w:gridCol w:w="60"/>
        <w:gridCol w:w="137"/>
        <w:gridCol w:w="873"/>
        <w:gridCol w:w="185"/>
        <w:gridCol w:w="60"/>
        <w:gridCol w:w="125"/>
        <w:gridCol w:w="485"/>
        <w:gridCol w:w="80"/>
        <w:gridCol w:w="60"/>
        <w:gridCol w:w="137"/>
        <w:gridCol w:w="873"/>
        <w:gridCol w:w="185"/>
        <w:gridCol w:w="60"/>
        <w:gridCol w:w="288"/>
        <w:gridCol w:w="1126"/>
        <w:gridCol w:w="84"/>
      </w:tblGrid>
      <w:tr>
        <w:trPr/>
        <w:tc>
          <w:tcPr>
            <w:tcW w:w="4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3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4" w:type="dxa"/>
            <w:tcBorders/>
            <w:shd w:fill="FFFFFF" w:val="clear"/>
            <w:vAlign w:val="center"/>
          </w:tcPr>
          <w:p>
            <w:pPr>
              <w:pStyle w:val="TableContents"/>
              <w:bidi w:val="0"/>
              <w:spacing w:before="0" w:after="283"/>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3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463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84" w:type="dxa"/>
            <w:tcBorders/>
            <w:shd w:fill="CCEEFF" w:val="clear"/>
            <w:vAlign w:val="center"/>
          </w:tcPr>
          <w:p>
            <w:pPr>
              <w:pStyle w:val="TableContents"/>
              <w:bidi w:val="0"/>
              <w:spacing w:before="0" w:after="283"/>
              <w:ind w:left="180" w:right="0" w:hanging="0"/>
              <w:jc w:val="left"/>
              <w:rPr/>
            </w:pPr>
            <w:r>
              <w:rPr/>
              <w:t> </w:t>
            </w:r>
          </w:p>
        </w:tc>
      </w:tr>
      <w:tr>
        <w:trPr/>
        <w:tc>
          <w:tcPr>
            <w:tcW w:w="46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6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Sales</w:t>
      </w:r>
      <w:r>
        <w:rPr>
          <w:rFonts w:ascii="Times New Roman;Times;serif" w:hAnsi="Times New Roman;Times;serif"/>
          <w:sz w:val="20"/>
        </w:rPr>
        <w:t xml:space="preserve"> — The following table shows changes in our sales by geographic region.</w:t>
      </w:r>
    </w:p>
    <w:p>
      <w:pPr>
        <w:pStyle w:val="TextBody"/>
        <w:bidi w:val="0"/>
        <w:spacing w:before="0" w:after="0"/>
        <w:ind w:left="0" w:right="0" w:hanging="0"/>
        <w:jc w:val="left"/>
        <w:rPr/>
      </w:pPr>
      <w:r>
        <w:rPr/>
        <w:t> </w:t>
      </w:r>
    </w:p>
    <w:tbl>
      <w:tblPr>
        <w:tblW w:w="8978" w:type="dxa"/>
        <w:jc w:val="left"/>
        <w:tblInd w:w="0" w:type="dxa"/>
        <w:tblLayout w:type="fixed"/>
        <w:tblCellMar>
          <w:top w:w="0" w:type="dxa"/>
          <w:left w:w="0" w:type="dxa"/>
          <w:bottom w:w="0" w:type="dxa"/>
          <w:right w:w="0" w:type="dxa"/>
        </w:tblCellMar>
      </w:tblPr>
      <w:tblGrid>
        <w:gridCol w:w="1220"/>
        <w:gridCol w:w="60"/>
        <w:gridCol w:w="143"/>
        <w:gridCol w:w="555"/>
        <w:gridCol w:w="68"/>
        <w:gridCol w:w="68"/>
        <w:gridCol w:w="143"/>
        <w:gridCol w:w="555"/>
        <w:gridCol w:w="60"/>
        <w:gridCol w:w="60"/>
        <w:gridCol w:w="441"/>
        <w:gridCol w:w="1183"/>
        <w:gridCol w:w="80"/>
        <w:gridCol w:w="60"/>
        <w:gridCol w:w="482"/>
        <w:gridCol w:w="887"/>
        <w:gridCol w:w="95"/>
        <w:gridCol w:w="95"/>
        <w:gridCol w:w="361"/>
        <w:gridCol w:w="753"/>
        <w:gridCol w:w="95"/>
        <w:gridCol w:w="95"/>
        <w:gridCol w:w="403"/>
        <w:gridCol w:w="936"/>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Change Due To</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(Divestitures)</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Organic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4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3,878</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in the first six months of 2026 were $162 higher than 2025. Stronger international currencies increased sales by $88, principally due to a stronger euro, Brazilian real, South African rand and Thai baht, partially offset by a weaker India rupee. The organic sales increase of $74 primarily resulted from pricing actions and recoveries, including material commodity, tariff and inflationary costs adjustments, and the conversion of sales backlog, partially offset by lower medium/heavy-truck production volumes in North America and lower electric-vehicle product orders in Europe and Asia Pacific. Pricing actions and recoveries, including material commodity, tariff and inflationary costs adjustments, increased sales by $101.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North America organic sales increase of 3% was driven principally by net customer pricing, tariff and cost recovery actions and the conversion of sales backlog, partially offset by lower medium- and heavy-truck production volumes. First six months 2026 Class 8 and Classes 5-7 production were down 17% and 16%, respectively. Excluding currency effects, sales in Europe were up 2% compared to 2025, reflecting net customer pricing and cost recovery actions and a modest improvement in year-over-year first six months medium/heavy-truck production volumes. Excluding currency effects, sales in South America were down 1% compared to 2025, reflecting lower year-over-year medium/heavy-truck product sales. Excluding currency effects, sales in Asia Pacific decreased 3% reflecting lower electric vehicle-related product orders, partially offset by a modest improvement in year-over-year first-half medium/heavy-truck production volumes.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Cost of sales and gross margin</w:t>
      </w:r>
      <w:r>
        <w:rPr>
          <w:rFonts w:ascii="Times New Roman;Times;serif" w:hAnsi="Times New Roman;Times;serif"/>
          <w:sz w:val="20"/>
        </w:rPr>
        <w:t xml:space="preserve"> — Cost of sales for the first six months of 2026 increased $39 when compared to 2025. Cost of sales as a percent of sales was 290 basis points lower than in the previous year. Incremental margins from cost reduction initiatives of $51, higher material cost savings of $47, operational efficiencies of $20, lower premium freight costs of $12, lower incentive compensation expense of $2 and favorable product mix were partially offset by tariff-related impacts of $50, non-material inflation of $49, commodity cost increases of $23, higher spending on electrification initiatives of $13 and higher warranty expense of $3. Commodity costs are primarily driven by certain grades of steel and aluminum. Non-material inflation includes higher labor, energy and transportation rates.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 of $379 for the first six months of 2026 increased $123 from 2025. Gross margin as a percent of sales was 9.8% in the first six months of 2026, 290 basis points higher than in 2025. The improvement in gross margin as a percent of sales was driven principally by the cost of sales factors referenced above. Material cost recovery mechanisms with our customers lag material cost changes by our suppliers by approximately 90 days. The recovery of non-material inflation is not specifically provided for in our current contracts with customers resulting in prolonged negotiations and indeterminate recoveries.</w:t>
      </w:r>
    </w:p>
    <w:p>
      <w:pPr>
        <w:pStyle w:val="TextBody"/>
        <w:bidi w:val="0"/>
        <w:spacing w:before="0" w:after="0"/>
        <w:ind w:left="0" w:right="0" w:firstLine="36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 — SG&amp;A expenses in the first six months of 2026 were $206 (5.3% of sales) as compared to $204 (5.5% of sales) in the first six months of 2025. SG&amp;A expenses were $2 higher in the first six months of 2026 primarily due to higher legal and professional services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Amortization of intangibles</w:t>
      </w:r>
      <w:r>
        <w:rPr>
          <w:rFonts w:ascii="Times New Roman" w:hAnsi="Times New Roman"/>
          <w:sz w:val="20"/>
        </w:rPr>
        <w:t xml:space="preserve"> — Amortization expense was $3 in the first six months of 2026 and $4 in the first six months of 2025. See Note 3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Restructuring charges, net</w:t>
      </w:r>
      <w:r>
        <w:rPr>
          <w:rFonts w:ascii="Times New Roman" w:hAnsi="Times New Roman"/>
          <w:sz w:val="20"/>
        </w:rPr>
        <w:t> — Net restructuring charges were $15 in the first six months of 2026 and $13 in the first six months of 2025. See Note 4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 The following table shows the major components of other income (expense), net.</w:t>
      </w:r>
    </w:p>
    <w:p>
      <w:pPr>
        <w:pStyle w:val="TextBody"/>
        <w:bidi w:val="0"/>
        <w:spacing w:before="0" w:after="0"/>
        <w:ind w:left="0" w:right="0" w:hanging="0"/>
        <w:jc w:val="left"/>
        <w:rPr/>
      </w:pPr>
      <w:r>
        <w:rPr/>
        <w:t> </w:t>
      </w:r>
    </w:p>
    <w:tbl>
      <w:tblPr>
        <w:tblW w:w="6310" w:type="dxa"/>
        <w:jc w:val="left"/>
        <w:tblInd w:w="0" w:type="dxa"/>
        <w:tblLayout w:type="fixed"/>
        <w:tblCellMar>
          <w:top w:w="0" w:type="dxa"/>
          <w:left w:w="0" w:type="dxa"/>
          <w:bottom w:w="0" w:type="dxa"/>
          <w:right w:w="0" w:type="dxa"/>
        </w:tblCellMar>
      </w:tblPr>
      <w:tblGrid>
        <w:gridCol w:w="4640"/>
        <w:gridCol w:w="60"/>
        <w:gridCol w:w="197"/>
        <w:gridCol w:w="458"/>
        <w:gridCol w:w="126"/>
        <w:gridCol w:w="94"/>
        <w:gridCol w:w="197"/>
        <w:gridCol w:w="458"/>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assistance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income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 relate primarily to costs incurred in connection with acquisition and divestiture related activities, including costs to complete the transaction and post-closing integration costs, and other strategic initiatives. Strategic transaction expenses in 2026 were primarily attributable to the potential acquisition of Eaton's Mobility business. See Note 1 of our consolidated financial statements in Item 1 of Part I for additional information. During the first six months of 2026, we recorded $59 of charges, including impairment and loss on disposition of property, plant and equipment, associated with certain electric vehicle programs that were either cancelled by the customer or that have experienced a precipitous decline in program volumes. On January 1, 2026, we sold our Off-Highway business to Allison Transmission Holdings, Inc.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2 of our consolidated financial statements in Item 1 of Part I for additional information. On January 30, 2026, we sold our wholly-owned subsidiary Pi Innovo LLC, recognizing a $8 pre-tax loss on the transaction. On June 6, 2025, we sold our ownership interest in Switch Mobility Limited, recognizing an $8 pre-tax loss on the transaction. See Note 18 to our consolidated financial statements in Item 1 of Part I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Loss on extinguishment of debt </w:t>
      </w:r>
      <w:r>
        <w:rPr>
          <w:rFonts w:ascii="Times New Roman;Times;serif" w:hAnsi="Times New Roman;Times;serif"/>
          <w:caps w:val="false"/>
          <w:smallCaps w:val="false"/>
          <w:sz w:val="20"/>
        </w:rPr>
        <w:t>— The $7 loss on extinguishment of debt is comprised of the write-off of deferred financing costs associated with purchases and redemptions of certain of our senior notes and the repayment of our Term A Facility during the first quarter of 2026. See Note 10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Interest income and interest expense </w:t>
      </w:r>
      <w:r>
        <w:rPr>
          <w:rFonts w:ascii="Times New Roman;Times;serif" w:hAnsi="Times New Roman;Times;serif"/>
          <w:caps w:val="false"/>
          <w:smallCaps w:val="false"/>
          <w:sz w:val="20"/>
        </w:rPr>
        <w:t>— Interest income was $10 in the first six months of 2026 and $5 in the first six months of 2025. Interest expense decreased from $83 in the first six months of 2025 to $43 in the first six months of 2026, reflecting lower average outstanding borrowings. See Note 10 of our consolidated financial statements in Item 1 of Part I for additional information. Average effective interest rates, inclusive of amortization of debt issuance costs, approximated 6.4% in the first six months of 2026 and 5.6%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 We reported income tax expense of $68 and $0 for the first six months of 2026 and 2025, respectively. Our effective tax rates were 124% and 0% for the first six months of 2026 and 2025, respectively. During the first six months of 2026, we recorded $12 of tax expense due to revisions in our assertions on unremitted earnings in foreign jurisdictions. During the first six months of 2025, we recorded a tax benefit of $19 due to a basis difference in a foreign subsidiary as a result of a change in tax status, $9 of tax expense for income tax reserves associated with prior tax years in foreign jurisdictions and tax expense of $6 resulting from the sale of Dana's ownership interest in an equity method investment.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may vary significantly due to fluctuations in the amounts and sources, both foreign and domestic, of pretax income and changes in the amounts of non-deductible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in earnings of affiliates</w:t>
      </w:r>
      <w:r>
        <w:rPr>
          <w:rFonts w:ascii="Times New Roman;Times;serif" w:hAnsi="Times New Roman;Times;serif"/>
          <w:sz w:val="20"/>
        </w:rPr>
        <w:t xml:space="preserve"> — Net earnings from equity investments was $9 in the first six months of 2026 and $25 in the first six months of 2025. Net earnings from Dongfeng Dana Axle Co., Ltd. (DDAC) were $7 in the first six months of 2026 and $4 in the first six months of 2025. On April 25, 2025, we sold our ownership interest in Axle India Limited, recognizing a $19 pre-tax gain on the transaction. See Note 18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Net income from discontinued operations</w:t>
      </w:r>
      <w:r>
        <w:rPr>
          <w:rFonts w:ascii="Times New Roman;Times;serif" w:hAnsi="Times New Roman;Times;serif"/>
          <w:sz w:val="20"/>
        </w:rPr>
        <w:t> — Net income from discontinued operations was $1,095 in the first six months of 2026 and $90 in the first six months of 2025. The Off-Highway business sale transaction closed on January 1, 2026, with a $1,186 pre-tax gain being recognized in net income from discontinued operations during the first six months of 2026. The Off-Highway business's Mexican operations continue to be presented as discontinued operations, as those operations have not yet legally transferred to the buyer. See Note 2 of our consolidated financial statements in Item 1 of Part I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Results of Operations (2026 versus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Light Vehicle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28"/>
        <w:gridCol w:w="60"/>
        <w:gridCol w:w="125"/>
        <w:gridCol w:w="485"/>
        <w:gridCol w:w="60"/>
        <w:gridCol w:w="60"/>
        <w:gridCol w:w="375"/>
        <w:gridCol w:w="1007"/>
        <w:gridCol w:w="60"/>
        <w:gridCol w:w="60"/>
        <w:gridCol w:w="263"/>
        <w:gridCol w:w="1686"/>
        <w:gridCol w:w="185"/>
        <w:gridCol w:w="60"/>
        <w:gridCol w:w="125"/>
        <w:gridCol w:w="485"/>
        <w:gridCol w:w="80"/>
        <w:gridCol w:w="60"/>
        <w:gridCol w:w="375"/>
        <w:gridCol w:w="1007"/>
        <w:gridCol w:w="60"/>
        <w:gridCol w:w="60"/>
        <w:gridCol w:w="346"/>
        <w:gridCol w:w="1603"/>
        <w:gridCol w:w="190"/>
      </w:tblGrid>
      <w:tr>
        <w:trPr/>
        <w:tc>
          <w:tcPr>
            <w:tcW w:w="1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8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1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pPr>
            <w:r>
              <w:rPr/>
              <w:t> </w:t>
            </w:r>
          </w:p>
        </w:tc>
        <w:tc>
          <w:tcPr>
            <w:tcW w:w="1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2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 and mix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132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132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13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1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pPr>
            <w:r>
              <w:rPr/>
              <w:t> </w:t>
            </w:r>
          </w:p>
        </w:tc>
        <w:tc>
          <w:tcPr>
            <w:tcW w:w="1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 sales in the second quarter of 2026, exclusive of currency effects, were 3% higher than 2025 reflecting the benefit of net customer pricing and cost and tariff recovery actions and the conversion of sales backlog partially offset by lower global electric-vehicle product orders. Year-over-year North America full-frame light-truck production increased 6% and light-truck production in South America and Asia Pacific increased 11% and 6%, respectively. Year-over-year light-truck production in Europe decreased 1%. Year-over-year light-vehicle engine production was flat in North America and Asia Pacific. Year-over-year light-vehicle engine production increased 2% in South America and decreased 7% in Europe. Net customer pricing and cost and tariff recovery actions increased year-over-year second quarter sales by $35. Light Vehicle sales in the first half of 2026, exclusive of currency effects, were 3% higher than 2025 reflecting the benefit of net customer pricing and cost and tariff recovery actions and the conversion of sales backlog partially offset by lower global electric-vehicle product orders. Year-over-year North America full-frame light-truck production increased 6% and light-truck production in Europe, South America and Asia Pacific increased 3%, 10% and 5%, respectively. Year-over-year light-vehicle engine production was flat in North America and Asia Pacific. Year-over-year light-vehicle engine production increased 5% in South America and decreased 5% in Europe. Net customer pricing and cost and tariff recovery actions increased year-over-year first-half sales by $71.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 second-quarter and first-half EBITDA increased $31 and $75, respectively, from the comparable periods of 2025. Higher sales volumes, favorable product mix and improved pricing on electric vehicle programs increased second-quarter EBITDA by $14. Favorable product mix and improved pricing on electric vehicle programs was partially offset by lower sales volumes, increasing first-half EBITDA by $45. The year-over-year performance-related earnings increase in the second quarter of 2026 was driven by net customer pricing and cost and tariff recovery actions of $35, higher material cost savings of $16, lower premium freight costs of $5, cost reduction initiatives of $3, lower incentive compensation expense of $3 and operational efficiencies, including lower corporate allocations resulting from cost reduction initiatives of $4. Partially offsetting these performance-related earnings increases were inflationary cost increases of $20, commodity cost increases of $11, higher tariff-related costs of $10, net foreign currency transaction losses of $7 and higher program launch costs of $1. The year-over-year performance-related earnings increase in the first half of 2026 was driven by net customer pricing and cost and tariff recovery actions of $71, higher material cost savings of $30, lower premium freight costs of $13, cost reduction initiatives of $8, lower incentive compensation expense of $3 and operational efficiencies, including lower corporate allocations resulting from cost reduction initiatives of $17. Partially offsetting these performance-related earnings increases were higher tariff-related costs of $46, inflationary cost increases of $39, commodity cost increases of $17, net foreign currency transaction losses of $7, higher warranty expense of $3 and higher program launch costs of $1.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44" w:right="144" w:hanging="180"/>
        <w:jc w:val="left"/>
        <w:rPr>
          <w:rFonts w:ascii="Times New Roman;Times;serif" w:hAnsi="Times New Roman;Times;serif"/>
          <w:i/>
          <w:sz w:val="20"/>
        </w:rPr>
      </w:pPr>
      <w:r>
        <w:rPr>
          <w:rFonts w:ascii="Times New Roman;Times;serif" w:hAnsi="Times New Roman;Times;serif"/>
          <w:i/>
          <w:sz w:val="20"/>
        </w:rPr>
        <w:t>Commercial Vehicle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36"/>
        <w:gridCol w:w="60"/>
        <w:gridCol w:w="125"/>
        <w:gridCol w:w="335"/>
        <w:gridCol w:w="60"/>
        <w:gridCol w:w="60"/>
        <w:gridCol w:w="492"/>
        <w:gridCol w:w="908"/>
        <w:gridCol w:w="80"/>
        <w:gridCol w:w="60"/>
        <w:gridCol w:w="267"/>
        <w:gridCol w:w="1715"/>
        <w:gridCol w:w="185"/>
        <w:gridCol w:w="60"/>
        <w:gridCol w:w="125"/>
        <w:gridCol w:w="485"/>
        <w:gridCol w:w="80"/>
        <w:gridCol w:w="60"/>
        <w:gridCol w:w="380"/>
        <w:gridCol w:w="1020"/>
        <w:gridCol w:w="80"/>
        <w:gridCol w:w="60"/>
        <w:gridCol w:w="267"/>
        <w:gridCol w:w="1715"/>
        <w:gridCol w:w="190"/>
      </w:tblGrid>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7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 and mix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13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in the second quarter of 2026, exclusive of currency effects, were 2% higher than 2025 reflecting a stronger Asia Pacific market, the conversion of sales backlog and net customer pricing and cost and tariff recovery actions, partially offset by a weakening North America market. Year-over-year Class 8 production in North America was down 8% while Classes 5-7 was down 10% in this year’s second quarter. Year-over-year medium/heavy-truck production in South America and Asia Pacific were up 6% and 12%, respectively, while Europe was down 3% in this year’s second quarter. Net customer pricing and cost and tariff recovery actions increased year-over-year sales by $10 in this year’s second quarter. Commercial Vehicle sales in the first half of 2026, exclusive of currency effects, were 1% higher than 2025 reflecting a stronger Asia Pacific market, the conversion of sales backlog and net customer pricing and cost and tariff recovery actions, partially offset by a weakening North America market. Year-over-year Class 8 production in North America was down 17% while Classes 5-7 was down 16% in this year's first half. Year-over-year medium/heavy-truck production in Europe, South America and Asia Pacific were up 3%, 1% and 11%, respectively. Net customer pricing and cost and tariff recovery actions increased year-over-year sales by $30 in this year's first half.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second-quarter and first-half 2026 segment EBITDA increased $21 and $43, respectively, from the comparable periods of 2025. The EBITDA benefit of higher sales volumes was offset by unfavorable product mix in the second quarter of 2026. Lower sales volumes decreased year-over-year earnings by $8 (40% decremental margin) in the first half of 2026. Unfavorable product mix in the first half of 2026 contributed to the decremental margin. The year-over-year performance-related earnings increase in the second quarter of 2026 was driven by net customer pricing and cost and tariff recovery actions of $10, net tariff refunds of $10, higher material cost savings of $8, cost reduction initiatives of $3, net foreign currency transaction gains of $3, lower incentive compensation expense of $2 and operational efficiencies, including lower corporate allocations resulting from cost reduction initiatives of $7. Partially offsetting these performance-related earnings increases were higher spending on electrification initiatives of $7, inflationary cost increases of $5, commodity cost increases of $4, higher premium freight costs of $3 and higher warranty expense of $1. The year-over-year performance-related earnings increase in the first half of 2026 was driven by net customer pricing and cost and tariff recovery actions of $30, higher material cost savings of $17, cost reduction initiatives of $6, net foreign currency transaction gains of $3, lower incentive compensation expense of $1, lower program launch costs of $1 and operational efficiencies, including lower corporate allocations resulting from cost reduction initiatives of $20. Partially offsetting these performance-related earnings increases were higher spending on electrification initiatives of $13, inflationary cost increases of $9, commodity cost increases of $6, higher tariff-related costs of $4 and higher premium freight costs of $1.</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defined adjusted EBITDA as net income (loss) from continuing operations before interest, income taxes, depreciation, amortization, equity grant expense, restructuring expense, non-service cost components of pension and other postretirement benefits (OPEB)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Adjusted EBITDA should not be considered a substitute for earnings (loss) before income taxes, net income (loss) or other results reported in accordance with GAAP. Adjusted EBITDA may not be comparable to similarly titled measures reported by other companies.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net income (loss) from continuing operations to adjusted EBITDA.</w:t>
      </w:r>
    </w:p>
    <w:p>
      <w:pPr>
        <w:pStyle w:val="TextBody"/>
        <w:bidi w:val="0"/>
        <w:spacing w:before="0" w:after="0"/>
        <w:ind w:left="0" w:right="0" w:hanging="0"/>
        <w:jc w:val="left"/>
        <w:rPr/>
      </w:pPr>
      <w:r>
        <w:rPr/>
        <w:t> </w:t>
      </w:r>
    </w:p>
    <w:tbl>
      <w:tblPr>
        <w:tblW w:w="8690" w:type="dxa"/>
        <w:jc w:val="left"/>
        <w:tblInd w:w="0" w:type="dxa"/>
        <w:tblLayout w:type="fixed"/>
        <w:tblCellMar>
          <w:top w:w="0" w:type="dxa"/>
          <w:left w:w="0" w:type="dxa"/>
          <w:bottom w:w="0" w:type="dxa"/>
          <w:right w:w="0" w:type="dxa"/>
        </w:tblCellMar>
      </w:tblPr>
      <w:tblGrid>
        <w:gridCol w:w="5150"/>
        <w:gridCol w:w="60"/>
        <w:gridCol w:w="204"/>
        <w:gridCol w:w="546"/>
        <w:gridCol w:w="130"/>
        <w:gridCol w:w="97"/>
        <w:gridCol w:w="204"/>
        <w:gridCol w:w="546"/>
        <w:gridCol w:w="80"/>
        <w:gridCol w:w="60"/>
        <w:gridCol w:w="181"/>
        <w:gridCol w:w="485"/>
        <w:gridCol w:w="115"/>
        <w:gridCol w:w="86"/>
        <w:gridCol w:w="181"/>
        <w:gridCol w:w="485"/>
        <w:gridCol w:w="80"/>
      </w:tblGrid>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546"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gain on unhedged intercompany loans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capacity charge adjustment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09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Other includes stock compensation expense, non-service cost components of pension and OPEB costs, strategic transaction expenses and other items. See Note 17 to our consolidated financial statements in Item 1 of Part I for additional details.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Free Cash Flow</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defined adjusted free cash flow as cash provided by (used in) operating activities less purchases of property, plant and equipment plus proceeds from sale of property, plant and equipment plus cash paid for purchases of leased facilities plus cash paid for Off-Highway business divestiture and Eaton Mobility business acquisition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operating activities reported in accordance with GAAP. Adjusted free cash flow may not be comparable to similarly titled measures reported by other companies.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reconciles net cash flows provided by (used in) operating activities to adjusted free cash flow.</w:t>
      </w:r>
    </w:p>
    <w:p>
      <w:pPr>
        <w:pStyle w:val="TextBody"/>
        <w:bidi w:val="0"/>
        <w:spacing w:before="0" w:after="0"/>
        <w:ind w:left="0" w:right="0" w:hanging="0"/>
        <w:jc w:val="left"/>
        <w:rPr/>
      </w:pPr>
      <w:r>
        <w:rPr/>
        <w:t> </w:t>
      </w:r>
    </w:p>
    <w:tbl>
      <w:tblPr>
        <w:tblW w:w="9769" w:type="dxa"/>
        <w:jc w:val="left"/>
        <w:tblInd w:w="0" w:type="dxa"/>
        <w:tblLayout w:type="fixed"/>
        <w:tblCellMar>
          <w:top w:w="0" w:type="dxa"/>
          <w:left w:w="0" w:type="dxa"/>
          <w:bottom w:w="0" w:type="dxa"/>
          <w:right w:w="0" w:type="dxa"/>
        </w:tblCellMar>
      </w:tblPr>
      <w:tblGrid>
        <w:gridCol w:w="6230"/>
        <w:gridCol w:w="60"/>
        <w:gridCol w:w="201"/>
        <w:gridCol w:w="635"/>
        <w:gridCol w:w="128"/>
        <w:gridCol w:w="96"/>
        <w:gridCol w:w="201"/>
        <w:gridCol w:w="466"/>
        <w:gridCol w:w="80"/>
        <w:gridCol w:w="60"/>
        <w:gridCol w:w="162"/>
        <w:gridCol w:w="513"/>
        <w:gridCol w:w="104"/>
        <w:gridCol w:w="78"/>
        <w:gridCol w:w="162"/>
        <w:gridCol w:w="513"/>
        <w:gridCol w:w="80"/>
      </w:tblGrid>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6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 Continuing operations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 Discontinued operations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 - Continuing operations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purchase of leased facilities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Off-Highway business divestiture related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28"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4"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free cash flow</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to liquidity, a non-GAAP measure, at June 30, 2026:</w:t>
      </w:r>
    </w:p>
    <w:p>
      <w:pPr>
        <w:pStyle w:val="TextBody"/>
        <w:bidi w:val="0"/>
        <w:spacing w:before="0" w:after="0"/>
        <w:ind w:left="0" w:right="0" w:hanging="0"/>
        <w:jc w:val="left"/>
        <w:rPr/>
      </w:pPr>
      <w:r>
        <w:rPr/>
        <w:t> </w:t>
      </w:r>
    </w:p>
    <w:tbl>
      <w:tblPr>
        <w:tblW w:w="5040" w:type="dxa"/>
        <w:jc w:val="left"/>
        <w:tblInd w:w="0" w:type="dxa"/>
        <w:tblLayout w:type="fixed"/>
        <w:tblCellMar>
          <w:top w:w="0" w:type="dxa"/>
          <w:left w:w="0" w:type="dxa"/>
          <w:bottom w:w="0" w:type="dxa"/>
          <w:right w:w="0" w:type="dxa"/>
        </w:tblCellMar>
      </w:tblPr>
      <w:tblGrid>
        <w:gridCol w:w="4310"/>
        <w:gridCol w:w="60"/>
        <w:gridCol w:w="125"/>
        <w:gridCol w:w="485"/>
        <w:gridCol w:w="60"/>
      </w:tblGrid>
      <w:tr>
        <w:trPr/>
        <w:tc>
          <w:tcPr>
            <w:tcW w:w="4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cash availability from Revolving Facility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liquidity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availability of $1,140 at June 30, 2026 under our Revolving Facility after deducting $10 of outstanding letters of credit.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our June 30, 2026 consolidated cash balance were as follows:</w:t>
      </w:r>
    </w:p>
    <w:p>
      <w:pPr>
        <w:pStyle w:val="TextBody"/>
        <w:bidi w:val="0"/>
        <w:spacing w:before="0" w:after="0"/>
        <w:ind w:left="0" w:right="0" w:hanging="0"/>
        <w:jc w:val="left"/>
        <w:rPr/>
      </w:pPr>
      <w:r>
        <w:rPr/>
        <w:t> </w:t>
      </w:r>
    </w:p>
    <w:tbl>
      <w:tblPr>
        <w:tblW w:w="7695" w:type="dxa"/>
        <w:jc w:val="left"/>
        <w:tblInd w:w="0" w:type="dxa"/>
        <w:tblLayout w:type="fixed"/>
        <w:tblCellMar>
          <w:top w:w="0" w:type="dxa"/>
          <w:left w:w="0" w:type="dxa"/>
          <w:bottom w:w="0" w:type="dxa"/>
          <w:right w:w="0" w:type="dxa"/>
        </w:tblCellMar>
      </w:tblPr>
      <w:tblGrid>
        <w:gridCol w:w="5735"/>
        <w:gridCol w:w="60"/>
        <w:gridCol w:w="125"/>
        <w:gridCol w:w="260"/>
        <w:gridCol w:w="60"/>
        <w:gridCol w:w="60"/>
        <w:gridCol w:w="205"/>
        <w:gridCol w:w="550"/>
        <w:gridCol w:w="60"/>
        <w:gridCol w:w="60"/>
        <w:gridCol w:w="125"/>
        <w:gridCol w:w="335"/>
        <w:gridCol w:w="60"/>
      </w:tblGrid>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Non-U.S.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held at less than wholly-owned subsidiaries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cash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portion of the non-U.S. cash and cash equivalents is utilized for working capital and other operating purposes. Several countries have local regulatory requirements that restrict the ability of our operations to repatriate this cash. Beyond these restrictions, there are practical limitations on repatriation of cash from certain subsidiaries because of the resulting tax withholdings and subsidiary by-law restrictions which could limit our ability to access cash and other assets.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June 30, 2026, we were in compliance with the covenants of our financing agreements. Under the Revolving Facility and our senior notes, we are required to comply with certain incurrence-based covenants customary for facilities of these types. The incurrence-based covenants in the Revolving Facility permit us to, among other things, (i) issue foreign subsidiary indebtedness, (ii) incur general secured indebtedness subject to a pro forma first lien net leverage ratio not to exceed 1.50:1.00 in the case of first lien debt and a pro forma secured net leverage ratio of 2.50:1.00 in the case of other secured debt and (iii) incur additional unsecured debt subject to a pro forma total net leverage ratio not to exceed 3.50:1.00, tested at the time of incurrence. We may also make dividend payments in respect of our common stock as well as certain investments and acquisitions subject to a pro forma total net leverage ratio of 2.75:1.00. In addition, the Revolving Facility is subject to a financial covenant requiring us to maintain a first lien net leverage ratio not to exceed 2.00:1.00. The indentures governing the senior notes include other incurrence-based covenants that may subject us to additional specified limitations.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depending upon market, pricing and other conditions, as well as our cash balances and liquidity, we may seek to acquire our senior notes or other indebtedness through open market purchases, privately negotiated transactions, tender offers, exchange offers or otherwise, upon such terms and at such prices as we may determine (or as may be provided for in the indentures governing the notes), for cash, securities or other consideration. In addition, we may enter into sale-leaseback transactions related to certain of our real estate holdings and factor receivables. There can be no assurance that we will pursue any such transactions in the future, as the pursuit of any alternative will depend upon numerous factors such as market conditions, our financial performance and the limitations applicable to such transactions under our financing and governance documents.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10, 2026, we became a party to a $2,600 bridge facility (the Bridge Facility). The Bridge Facility serves as a backstop to certain contemplated financing transactions associated with Dana's intended acquisition of Eaton's Mobility business. See Note 1 of our consolidated financial statements in Item 1 of Part I for additional information. The Bridge Facility may be drawn upon only if the acquisition transaction closes. Availability under the Bridge Facility is subject to reduction to the extent contemplated financing transactions are completed prior to the acquisition transaction closing. See Note 10 of our consolidated financial statements in Item 1 of Part I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July 1, 2026, we issued notices of conditional full redemption with a redemption date of July 31, 2026, for all of our outstanding July 2031 Notes at a redemption price equal to 104.25% plus accrued and unpaid interest. On July 10, 2026, we amended our credit and guaranty agreement to include a $500 Term A Facility. Borrowings under the Term A Facility bear interest at a floating rate based on Term Secured Overnight Financing Rate (SOFR) (as described in the credit agreement) plus a margin. The Term A Facility matures 364 days from the date of the first draw on the Term A Facility. We are required to make quarterly installments on the Term A Facility on the last day of each quarter commencing on December 31, 2026 in an amount equal to 10% of the original amount borrowed adjusted for any prepayments. On July 28, 2026, we fully drew the Term A Facility. On July 31, 2026, we redeemed all of our outstanding July 2031 Notes.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sources of liquidity available for our future cash requirements are expected to be (i) cash flows from operations, (ii) cash and cash equivalents on hand and (iii) borrowings from our Revolving Facility. We believe that our overall liquidity and operating cash flow will be sufficient to meet our anticipated cash requirements for capital expenditures, working capital, debt obligations and other commitments during the next twelve months. While uncertainty surrounding the current economic environment could adversely impact our business, based on our current financial position, we believe it is unlikely that any such effects would preclude us from maintaining sufficient liquidity.</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The following table summarizes our consolidated statement of cash flows:</w:t>
      </w:r>
    </w:p>
    <w:p>
      <w:pPr>
        <w:pStyle w:val="TextBody"/>
        <w:bidi w:val="0"/>
        <w:spacing w:before="0" w:after="0"/>
        <w:ind w:left="0" w:right="0" w:hanging="0"/>
        <w:jc w:val="left"/>
        <w:rPr/>
      </w:pPr>
      <w:r>
        <w:rPr/>
        <w:t> </w:t>
      </w:r>
    </w:p>
    <w:tbl>
      <w:tblPr>
        <w:tblW w:w="6312" w:type="dxa"/>
        <w:jc w:val="left"/>
        <w:tblInd w:w="0" w:type="dxa"/>
        <w:tblLayout w:type="fixed"/>
        <w:tblCellMar>
          <w:top w:w="0" w:type="dxa"/>
          <w:left w:w="0" w:type="dxa"/>
          <w:bottom w:w="0" w:type="dxa"/>
          <w:right w:w="0" w:type="dxa"/>
        </w:tblCellMar>
      </w:tblPr>
      <w:tblGrid>
        <w:gridCol w:w="4640"/>
        <w:gridCol w:w="60"/>
        <w:gridCol w:w="156"/>
        <w:gridCol w:w="682"/>
        <w:gridCol w:w="100"/>
        <w:gridCol w:w="75"/>
        <w:gridCol w:w="156"/>
        <w:gridCol w:w="363"/>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xml:space="preserve"> — Exclusive of working capital, other cash provided by continuing operations was $211 in 2026 and $171 in 2025. The year-over-year improvement is primarily attributable to the impact of higher year-over-year operating earnings from continuing operations. Continuing operations working capital used cash of $221 and $202 in 2026 and 2025, respectively. Cash of $321 and $134 was used to finance receivables in 2026 and 2025, respectively. Cash of $32 and $48 was provided by lower inventory levels in 2026 and 2025, respectively. Increases in accounts payable and other net liabilities provided cash of $68 in 2026, while decreases in accounts payable and other net liabilities used cash of $116 in 2025. The Off-Highway business sale transaction closed on January 1, 2026. The Off-Highway business's Mexican operations continue to be presented as discontinued operations, as those operations have not yet legally transferred to the buyer. Operating activities of discontinued operations used cash of $76 in 2026 and generated cash of $26 in 2025. The use of cash in 2026 is primarily due cash paid for Off-Highway related divestiture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xml:space="preserve"> — Expenditures for property, plant and equipment by continuing operations were $204 and $104 in 2026 and 2025, respectively. The elevated level of capital spending in 2026 is primarily due to the purchase of three U.S. manufacturing facilities that were previously leased. Investing activities of discontinued operations provided cash of $2,528 in 2026 and used cash of $22 in 2025. The Off-Highway business sale transaction closed on January 1, 2026, with only the Off-Highway business's Mexican operations continuing to be presented as discontinued operations, as those operations have not yet legally transferred to the buyer. We received net cash proceeds of $2,529 during 2026 on the sale of the Off-Highway business to Allison.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Financing activities </w:t>
      </w:r>
      <w:r>
        <w:rPr>
          <w:rFonts w:ascii="Times New Roman;Times;serif" w:hAnsi="Times New Roman;Times;serif"/>
          <w:sz w:val="20"/>
        </w:rPr>
        <w:t>— During 2026, we had net payments on our Revolving Facility of $390 and we repaid the $225 outstanding balance on the Term A Facility. During 2025, we had net borrowings on our Revolving Facility of $525. During 2026, we purchased $138 of our November 2027 Notes, $142 of our June 2028 Notes, €141 of our July 2029 Notes ($164 as of January 7, 2026), $173 of our September 2030 Notes, €9 of our July 2031 Notes ($10 as of January 7, 2026) and $152 of our February 2032 Notes. Also during 2026, we redeemed $262 of our November 2027 Notes and $258 of our June 2028 Notes. During 2025, we redeemed the remaining $200 of our April 2025 Notes. We used cash of $26 and $29 for dividend payments to common stockholders during 2026 and 2025, respectively. We used cash of $169 and $257 to repurchase 5,664,914 common shares and 14,607,283 common shares under our share repurchase during 2026 and 2025, respectively. Distributions to noncontrolling interests totaled $2 and $3 in 2026 and 2025, respectively. During 2026, we paid Hydro-Québec $190 to acquire their 45% mandatorily redeemable noncontrolling interests in Dana TM4 Inc., Dana TM4 Electric Holdings BV and Dana TM4 USA, LLC.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at June 30, 2026 in our off-balance sheet arrangements from those reported or estimated in the disclosures in Item 7 of our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second quarter of 2026, the Company modified an operating lease, resulting in a reassessment and reclassification of the lease as a finance lease. At the modification date, the carrying amounts of the operating lease right-of-use asset and lease liability were $62 million and $57 million, respectively. Following remeasurement, the Company recognized a finance lease right-of-use asset of $103 million and a finance lease liability of $98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have been no other material changes in our contractual obligations from those disclosed in Item 7 of our 2025 From 10-K.</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a summary of litigation and other contingencies, see Note 12 to our consolidated financial statements in Item 1 of Part I. Based on information available to us at the present time, we do not believe that any liabilities beyond the amounts already accrued that may result from these contingencies will have a material adverse effect on our liquidity, financial condition or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preparation of our consolidated financial statements in accordance with GAAP requires us to use estimates and make judgments and assumptions about future events that affect the reported amounts of assets, liabilities, revenue and expenses and the related disclosures. See Item 7 in our 2025 Form 10-K for a description of our critical accounting estimates and Note 1 to our consolidated financial statements in Item 8 of our 2025 Form 10-K for our significant accounting policies. There were no changes to our critical accounting estimates in the six months ended June 30, 2026. See Note 1 to our consolidated financial statements in this Form 10-Q for a discussion of new accounting guidance adopted during the first six months of 2026.</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7" w:name="item3"/>
      <w:bookmarkEnd w:id="27"/>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market risk exposures related to changes in currency exchange rates, interest rates or commodity costs from those discussed in Item 7A of our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28" w:name="item4"/>
      <w:bookmarkEnd w:id="28"/>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Disclosure controls and procedures</w:t>
      </w:r>
      <w:r>
        <w:rPr>
          <w:rFonts w:ascii="Times New Roman;Times;serif" w:hAnsi="Times New Roman;Times;serif"/>
          <w:sz w:val="20"/>
        </w:rPr>
        <w:t xml:space="preserve"> — We maintain disclosure controls and procedures that are designed to ensure that the information disclosed in the reports we file with the SEC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CEO and CFO, has evaluated the effectiveness of our disclosure controls and procedures as of the end of the period covered by this Quarterly Report on Form 10-Q. Our CEO and CFO have concluded that, as of the end of the period covered by this Quarterly Report on Form 10-Q, our disclosure controls and procedures (as defined in Rules 13a-15(e) and 15d-15(e) under the Exchange Act) were effective.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was no change in our internal control over financial reporting that occurred during our fiscal quarter ended June 30, 2026 that has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CEO and CFO certifications</w:t>
      </w:r>
      <w:r>
        <w:rPr>
          <w:rFonts w:ascii="Times New Roman;Times;serif" w:hAnsi="Times New Roman;Times;serif"/>
          <w:sz w:val="20"/>
        </w:rPr>
        <w:t xml:space="preserve"> — The certifications of our CEO and CFO that are attached to this report as Exhibits 31.1 and 31.2 include information about our disclosure controls and procedures and internal control over financial reporting. These certifications should be read in conjunction with the information contained in this Item 4 and in Item 9A of Part II of our 2025 Form 10-K for a more complete understanding of the matters covered by the certifications.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9" w:name="part2"/>
      <w:bookmarkEnd w:id="29"/>
      <w:r>
        <w:rPr>
          <w:rFonts w:ascii="Times New Roman;Times;serif" w:hAnsi="Times New Roman;Times;serif"/>
          <w:b/>
          <w:sz w:val="20"/>
        </w:rPr>
        <w:t>PART II – OTHER INFORMATION</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bookmarkStart w:id="30" w:name="a2item1"/>
      <w:bookmarkEnd w:id="30"/>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party to various pending judicial and administrative proceedings that arose in the ordinary course of business. After reviewing the currently pending lawsuits and proceedings (including the probable outcomes, reasonably anticipated costs and expenses and our established reserves for uninsured liabilities), we do not believe that any liabilities that may result from these proceedings are reasonably likely to have a material adverse effect on our liquidity, financial condition or results of operations. Legal proceedings are also discussed in Note 12 to our consolidated financial statements in Item 1 of Part I of this Form 10-Q.</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31" w:name="a2item1a"/>
      <w:bookmarkEnd w:id="31"/>
      <w:r>
        <w:rPr>
          <w:rFonts w:ascii="Times New Roman;Times;serif" w:hAnsi="Times New Roman;Times;serif"/>
          <w:b/>
          <w:sz w:val="20"/>
        </w:rPr>
        <w:t>Item 1</w:t>
      </w:r>
      <w:r>
        <w:rPr>
          <w:rFonts w:ascii="Times New Roman;Times;serif" w:hAnsi="Times New Roman;Times;serif"/>
          <w:b/>
          <w:sz w:val="20"/>
          <w:shd w:fill="FFFFFF" w:val="clear"/>
        </w:rPr>
        <w:t xml:space="preserve">A. </w:t>
      </w:r>
      <w:r>
        <w:rPr>
          <w:rFonts w:ascii="Times New Roman;Times;serif" w:hAnsi="Times New Roman;Times;serif"/>
          <w:b/>
          <w:i/>
          <w:sz w:val="20"/>
          <w:shd w:fill="FFFFFF" w:val="clear"/>
        </w:rPr>
        <w:t>Risk Factors</w:t>
      </w:r>
    </w:p>
    <w:p>
      <w:pPr>
        <w:pStyle w:val="TextBody"/>
        <w:bidi w:val="0"/>
        <w:spacing w:before="0" w:after="0"/>
        <w:ind w:left="0" w:right="0" w:hanging="0"/>
        <w:jc w:val="left"/>
        <w:rPr/>
      </w:pPr>
      <w:r>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in our risk factors disclosed in Item 1A of our 2025 Form 10-K.</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bookmarkStart w:id="32" w:name="a2item2"/>
      <w:bookmarkEnd w:id="32"/>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Issuer's purchases of equity securities —</w:t>
      </w:r>
      <w:r>
        <w:rPr>
          <w:rFonts w:ascii="Times New Roman;Times;serif" w:hAnsi="Times New Roman;Times;serif"/>
          <w:sz w:val="20"/>
        </w:rPr>
        <w:t> On June 8, 2025 our Board of Directors approved a stock repurchase program of up to an aggregate of $1,000 less any amount of special dividends distributed in connection with the sale of the Off-Highway business. The program expires on December 31, 2027. On February 11, 2026, our Board of Directors increased and extended the share repurchase program to a total of $2,000 through December 31, 2030. The following table summarizes our purchases of common stock during the second quarter of 2026.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19"/>
        <w:gridCol w:w="60"/>
        <w:gridCol w:w="106"/>
        <w:gridCol w:w="1243"/>
        <w:gridCol w:w="60"/>
        <w:gridCol w:w="60"/>
        <w:gridCol w:w="257"/>
        <w:gridCol w:w="1004"/>
        <w:gridCol w:w="60"/>
        <w:gridCol w:w="60"/>
        <w:gridCol w:w="220"/>
        <w:gridCol w:w="2582"/>
        <w:gridCol w:w="60"/>
        <w:gridCol w:w="60"/>
        <w:gridCol w:w="672"/>
        <w:gridCol w:w="2616"/>
        <w:gridCol w:w="66"/>
      </w:tblGrid>
      <w:tr>
        <w:trPr/>
        <w:tc>
          <w:tcPr>
            <w:tcW w:w="1019"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 Purchased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Paid per Share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0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 Purchased as Part of Publicly Announced Plans or Programs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8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Approximate Dollar Value of Shares that May Yet be Purchased Under the Plans or Programs</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0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1 -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2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5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6" w:type="dxa"/>
            <w:tcBorders/>
            <w:shd w:fill="CCEEFF" w:val="clear"/>
            <w:tcMar>
              <w:bottom w:w="0" w:type="dxa"/>
            </w:tcMar>
            <w:vAlign w:val="center"/>
          </w:tcPr>
          <w:p>
            <w:pPr>
              <w:pStyle w:val="TableContents"/>
              <w:bidi w:val="0"/>
              <w:spacing w:before="0" w:after="283"/>
              <w:jc w:val="left"/>
              <w:rPr/>
            </w:pPr>
            <w:r>
              <w:rPr/>
              <w:t> </w:t>
            </w:r>
          </w:p>
        </w:tc>
      </w:tr>
      <w:tr>
        <w:trPr/>
        <w:tc>
          <w:tcPr>
            <w:tcW w:w="101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2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25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66" w:type="dxa"/>
            <w:tcBorders/>
            <w:shd w:fill="FFFFFF" w:val="clear"/>
            <w:tcMar>
              <w:bottom w:w="0" w:type="dxa"/>
            </w:tcMar>
            <w:vAlign w:val="center"/>
          </w:tcPr>
          <w:p>
            <w:pPr>
              <w:pStyle w:val="TableContents"/>
              <w:bidi w:val="0"/>
              <w:spacing w:before="0" w:after="283"/>
              <w:jc w:val="left"/>
              <w:rPr/>
            </w:pPr>
            <w:r>
              <w:rPr/>
              <w:t> </w:t>
            </w:r>
          </w:p>
        </w:tc>
      </w:tr>
      <w:tr>
        <w:trPr/>
        <w:tc>
          <w:tcPr>
            <w:tcW w:w="101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1 -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2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5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6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3" w:name="a2item5"/>
      <w:bookmarkEnd w:id="33"/>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w:t>
      </w:r>
      <w:r>
        <w:rPr>
          <w:rFonts w:ascii="Times New Roman;Times;serif" w:hAnsi="Times New Roman;Times;serif"/>
          <w:b/>
          <w:i/>
          <w:sz w:val="20"/>
        </w:rPr>
        <w:t>Other Information</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none of the Company’s directors or executive officers adopted or terminated any contract, instruction or written plan for the purchase or sale of Company securities that was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or any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4" w:name="a2item6"/>
      <w:bookmarkEnd w:id="34"/>
      <w:r>
        <w:rPr>
          <w:rFonts w:ascii="Times New Roman;Times;serif" w:hAnsi="Times New Roman;Times;serif"/>
          <w:b/>
          <w:sz w:val="20"/>
        </w:rPr>
        <w:t xml:space="preserve">Item 6. </w:t>
      </w:r>
      <w:r>
        <w:rPr>
          <w:rFonts w:ascii="Times New Roman;Times;serif" w:hAnsi="Times New Roman;Times;serif"/>
          <w:b/>
          <w:i/>
          <w:sz w:val="20"/>
        </w:rPr>
        <w:t>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4"/>
        <w:gridCol w:w="9471"/>
      </w:tblGrid>
      <w:tr>
        <w:trPr/>
        <w:tc>
          <w:tcPr>
            <w:tcW w:w="73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Exhibit No. </w:t>
            </w:r>
          </w:p>
        </w:tc>
        <w:tc>
          <w:tcPr>
            <w:tcW w:w="94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283"/>
              <w:jc w:val="center"/>
              <w:rPr/>
            </w:pPr>
            <w:r>
              <w:rPr/>
              <w:t>2.1</w:t>
            </w:r>
          </w:p>
        </w:tc>
        <w:tc>
          <w:tcPr>
            <w:tcW w:w="9471" w:type="dxa"/>
            <w:tcBorders/>
            <w:vAlign w:val="center"/>
          </w:tcPr>
          <w:p>
            <w:pPr>
              <w:pStyle w:val="TableContents"/>
              <w:bidi w:val="0"/>
              <w:spacing w:before="0" w:after="283"/>
              <w:jc w:val="left"/>
              <w:rPr/>
            </w:pPr>
            <w:hyperlink r:id="rId2">
              <w:r>
                <w:rPr>
                  <w:rStyle w:val="InternetLink"/>
                </w:rPr>
                <w:t>Separation and Distribution Agreement, dated as of June 10, 2026, by and among Eaton Corporation plc, Eaton Corporation, Eaton Capital Unlimited Company, Mobility (USA) Corporation and Dana Incorporated, and incorporated herein by reference.</w:t>
              </w:r>
            </w:hyperlink>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283"/>
              <w:jc w:val="center"/>
              <w:rPr/>
            </w:pPr>
            <w:r>
              <w:rPr/>
              <w:t>2.2</w:t>
            </w:r>
          </w:p>
        </w:tc>
        <w:tc>
          <w:tcPr>
            <w:tcW w:w="9471" w:type="dxa"/>
            <w:tcBorders/>
            <w:vAlign w:val="center"/>
          </w:tcPr>
          <w:p>
            <w:pPr>
              <w:pStyle w:val="TableContents"/>
              <w:bidi w:val="0"/>
              <w:spacing w:before="0" w:after="283"/>
              <w:jc w:val="left"/>
              <w:rPr/>
            </w:pPr>
            <w:hyperlink r:id="rId3">
              <w:r>
                <w:rPr>
                  <w:rStyle w:val="InternetLink"/>
                </w:rPr>
                <w:t>Agreement and Plan of Merger, dated as of June 10, 2026, by and among Eaton Corporation plc, Eaton Corporation, Mobility (USA) Corporation, Atlas Mobility Sub, Inc. and Dana Incorporated, and incorporated herein by reference.</w:t>
              </w:r>
            </w:hyperlink>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283"/>
              <w:jc w:val="center"/>
              <w:rPr/>
            </w:pPr>
            <w:r>
              <w:rPr/>
              <w:t>10.1</w:t>
            </w:r>
          </w:p>
        </w:tc>
        <w:tc>
          <w:tcPr>
            <w:tcW w:w="9471" w:type="dxa"/>
            <w:tcBorders/>
            <w:vAlign w:val="center"/>
          </w:tcPr>
          <w:p>
            <w:pPr>
              <w:pStyle w:val="TableContents"/>
              <w:bidi w:val="0"/>
              <w:spacing w:before="0" w:after="283"/>
              <w:jc w:val="left"/>
              <w:rPr/>
            </w:pPr>
            <w:hyperlink r:id="rId4">
              <w:r>
                <w:rPr>
                  <w:rStyle w:val="InternetLink"/>
                </w:rPr>
                <w:t>Letter Agreement between Dana Incorporated and Byron S. Foster, dated June 11, 2026, and incorporated herein by reference.</w:t>
              </w:r>
            </w:hyperlink>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283"/>
              <w:jc w:val="center"/>
              <w:rPr/>
            </w:pPr>
            <w:r>
              <w:rPr/>
              <w:t>10.2</w:t>
            </w:r>
          </w:p>
        </w:tc>
        <w:tc>
          <w:tcPr>
            <w:tcW w:w="9471" w:type="dxa"/>
            <w:tcBorders/>
            <w:vAlign w:val="center"/>
          </w:tcPr>
          <w:p>
            <w:pPr>
              <w:pStyle w:val="TableContents"/>
              <w:bidi w:val="0"/>
              <w:spacing w:before="0" w:after="283"/>
              <w:jc w:val="left"/>
              <w:rPr/>
            </w:pPr>
            <w:hyperlink r:id="rId5">
              <w:r>
                <w:rPr>
                  <w:rStyle w:val="InternetLink"/>
                </w:rPr>
                <w:t>Letter Agreement between Dana Incorporated and R. Bruce McDonald, dated June 11, 2026, and incorporated herein by reference.</w:t>
              </w:r>
            </w:hyperlink>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283"/>
              <w:jc w:val="center"/>
              <w:rPr/>
            </w:pPr>
            <w:r>
              <w:rPr/>
              <w:t>10.3</w:t>
            </w:r>
          </w:p>
        </w:tc>
        <w:tc>
          <w:tcPr>
            <w:tcW w:w="9471" w:type="dxa"/>
            <w:tcBorders/>
            <w:vAlign w:val="center"/>
          </w:tcPr>
          <w:p>
            <w:pPr>
              <w:pStyle w:val="TableContents"/>
              <w:bidi w:val="0"/>
              <w:spacing w:before="0" w:after="283"/>
              <w:jc w:val="left"/>
              <w:rPr/>
            </w:pPr>
            <w:hyperlink r:id="rId6">
              <w:r>
                <w:rPr>
                  <w:rStyle w:val="InternetLink"/>
                </w:rPr>
                <w:t>Amendment No. 8 to Credit and Guaranty Agreement, dated as of July 10, 2026, among Dana Incorporated, the guarantors party thereto, Citibank, N.A., as administrative agent and collateral agent, and the lenders party thereto, and incorporated herein by reference.</w:t>
              </w:r>
            </w:hyperlink>
          </w:p>
        </w:tc>
      </w:tr>
      <w:tr>
        <w:trPr/>
        <w:tc>
          <w:tcPr>
            <w:tcW w:w="734" w:type="dxa"/>
            <w:tcBorders/>
            <w:vAlign w:val="center"/>
          </w:tcPr>
          <w:p>
            <w:pPr>
              <w:pStyle w:val="TableContents"/>
              <w:bidi w:val="0"/>
              <w:spacing w:before="0" w:after="283"/>
              <w:jc w:val="left"/>
              <w:rPr/>
            </w:pPr>
            <w:r>
              <w:rPr/>
              <w:t> </w:t>
            </w:r>
          </w:p>
        </w:tc>
        <w:tc>
          <w:tcPr>
            <w:tcW w:w="9471" w:type="dxa"/>
            <w:tcBorders/>
            <w:vAlign w:val="center"/>
          </w:tcPr>
          <w:p>
            <w:pPr>
              <w:pStyle w:val="TableContents"/>
              <w:bidi w:val="0"/>
              <w:spacing w:before="0" w:after="283"/>
              <w:jc w:val="left"/>
              <w:rPr/>
            </w:pPr>
            <w:r>
              <w:rPr/>
              <w:t> </w:t>
            </w:r>
          </w:p>
        </w:tc>
      </w:tr>
      <w:tr>
        <w:trPr/>
        <w:tc>
          <w:tcPr>
            <w:tcW w:w="7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9471" w:type="dxa"/>
            <w:tcBorders/>
            <w:vAlign w:val="center"/>
          </w:tcPr>
          <w:p>
            <w:pPr>
              <w:pStyle w:val="TableContents"/>
              <w:bidi w:val="0"/>
              <w:spacing w:before="0" w:after="0"/>
              <w:ind w:left="0" w:right="0" w:hanging="0"/>
              <w:jc w:val="left"/>
              <w:rPr/>
            </w:pPr>
            <w:hyperlink w:anchor="ex_965006.htm">
              <w:r>
                <w:rPr>
                  <w:rStyle w:val="InternetLink"/>
                  <w:rFonts w:ascii="Times New Roman;Times;serif" w:hAnsi="Times New Roman;Times;serif"/>
                  <w:sz w:val="20"/>
                </w:rPr>
                <w:t>Rule 13a-14(a)/15d-14(a) Certification of Chief Executive Officer. Filed with this Report.</w:t>
              </w:r>
            </w:hyperlink>
          </w:p>
        </w:tc>
      </w:tr>
      <w:tr>
        <w:trPr/>
        <w:tc>
          <w:tcPr>
            <w:tcW w:w="734" w:type="dxa"/>
            <w:tcBorders/>
            <w:vAlign w:val="center"/>
          </w:tcPr>
          <w:p>
            <w:pPr>
              <w:pStyle w:val="TableContents"/>
              <w:bidi w:val="0"/>
              <w:spacing w:before="0" w:after="0"/>
              <w:ind w:left="0" w:right="0" w:hanging="0"/>
              <w:jc w:val="center"/>
              <w:rPr/>
            </w:pPr>
            <w:r>
              <w:rPr/>
              <w:t> </w:t>
            </w:r>
          </w:p>
        </w:tc>
        <w:tc>
          <w:tcPr>
            <w:tcW w:w="9471" w:type="dxa"/>
            <w:tcBorders/>
            <w:vAlign w:val="center"/>
          </w:tcPr>
          <w:p>
            <w:pPr>
              <w:pStyle w:val="TableContents"/>
              <w:bidi w:val="0"/>
              <w:spacing w:before="0" w:after="0"/>
              <w:ind w:left="0" w:right="0" w:hanging="0"/>
              <w:jc w:val="left"/>
              <w:rPr/>
            </w:pPr>
            <w:r>
              <w:rPr/>
              <w:t> </w:t>
            </w:r>
          </w:p>
        </w:tc>
      </w:tr>
      <w:tr>
        <w:trPr/>
        <w:tc>
          <w:tcPr>
            <w:tcW w:w="7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9471" w:type="dxa"/>
            <w:tcBorders/>
            <w:vAlign w:val="center"/>
          </w:tcPr>
          <w:p>
            <w:pPr>
              <w:pStyle w:val="TableContents"/>
              <w:bidi w:val="0"/>
              <w:spacing w:before="0" w:after="0"/>
              <w:ind w:left="0" w:right="0" w:hanging="0"/>
              <w:jc w:val="left"/>
              <w:rPr/>
            </w:pPr>
            <w:hyperlink w:anchor="ex_965007.htm">
              <w:r>
                <w:rPr>
                  <w:rStyle w:val="InternetLink"/>
                  <w:rFonts w:ascii="Times New Roman;Times;serif" w:hAnsi="Times New Roman;Times;serif"/>
                  <w:sz w:val="20"/>
                </w:rPr>
                <w:t>Rule 13a-14(a)/15d-14(a) Certification of Chief Financial Officer. Filed with this Report.</w:t>
              </w:r>
            </w:hyperlink>
          </w:p>
        </w:tc>
      </w:tr>
      <w:tr>
        <w:trPr/>
        <w:tc>
          <w:tcPr>
            <w:tcW w:w="734" w:type="dxa"/>
            <w:tcBorders/>
            <w:vAlign w:val="center"/>
          </w:tcPr>
          <w:p>
            <w:pPr>
              <w:pStyle w:val="TableContents"/>
              <w:bidi w:val="0"/>
              <w:spacing w:before="0" w:after="0"/>
              <w:ind w:left="0" w:right="0" w:hanging="0"/>
              <w:jc w:val="center"/>
              <w:rPr/>
            </w:pPr>
            <w:r>
              <w:rPr/>
              <w:t> </w:t>
            </w:r>
          </w:p>
        </w:tc>
        <w:tc>
          <w:tcPr>
            <w:tcW w:w="9471" w:type="dxa"/>
            <w:tcBorders/>
            <w:vAlign w:val="center"/>
          </w:tcPr>
          <w:p>
            <w:pPr>
              <w:pStyle w:val="TableContents"/>
              <w:bidi w:val="0"/>
              <w:spacing w:before="0" w:after="0"/>
              <w:ind w:left="0" w:right="0" w:hanging="0"/>
              <w:jc w:val="left"/>
              <w:rPr/>
            </w:pPr>
            <w:r>
              <w:rPr/>
              <w:t> </w:t>
            </w:r>
          </w:p>
        </w:tc>
      </w:tr>
      <w:tr>
        <w:trPr/>
        <w:tc>
          <w:tcPr>
            <w:tcW w:w="7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9471" w:type="dxa"/>
            <w:tcBorders/>
            <w:vAlign w:val="center"/>
          </w:tcPr>
          <w:p>
            <w:pPr>
              <w:pStyle w:val="TableContents"/>
              <w:bidi w:val="0"/>
              <w:spacing w:before="0" w:after="0"/>
              <w:ind w:left="0" w:right="0" w:hanging="0"/>
              <w:jc w:val="left"/>
              <w:rPr/>
            </w:pPr>
            <w:hyperlink w:anchor="ex_965008.htm">
              <w:r>
                <w:rPr>
                  <w:rStyle w:val="InternetLink"/>
                  <w:rFonts w:ascii="Times New Roman;Times;serif" w:hAnsi="Times New Roman;Times;serif"/>
                  <w:sz w:val="20"/>
                </w:rPr>
                <w:t>Section 1350 Certifications (pursuant to Section 906 of the Sarbanes-Oxley Act of 2002). Filed with this Report.</w:t>
              </w:r>
            </w:hyperlink>
          </w:p>
        </w:tc>
      </w:tr>
      <w:tr>
        <w:trPr/>
        <w:tc>
          <w:tcPr>
            <w:tcW w:w="734" w:type="dxa"/>
            <w:tcBorders/>
            <w:vAlign w:val="center"/>
          </w:tcPr>
          <w:p>
            <w:pPr>
              <w:pStyle w:val="TableContents"/>
              <w:bidi w:val="0"/>
              <w:spacing w:before="0" w:after="0"/>
              <w:ind w:left="0" w:right="0" w:hanging="0"/>
              <w:jc w:val="center"/>
              <w:rPr/>
            </w:pPr>
            <w:r>
              <w:rPr/>
              <w:t> </w:t>
            </w:r>
          </w:p>
        </w:tc>
        <w:tc>
          <w:tcPr>
            <w:tcW w:w="9471" w:type="dxa"/>
            <w:tcBorders/>
            <w:vAlign w:val="center"/>
          </w:tcPr>
          <w:p>
            <w:pPr>
              <w:pStyle w:val="TableContents"/>
              <w:bidi w:val="0"/>
              <w:spacing w:before="0" w:after="0"/>
              <w:ind w:left="0" w:right="0" w:hanging="0"/>
              <w:jc w:val="left"/>
              <w:rPr/>
            </w:pPr>
            <w:r>
              <w:rPr/>
              <w:t> </w:t>
            </w:r>
          </w:p>
        </w:tc>
      </w:tr>
      <w:tr>
        <w:trPr/>
        <w:tc>
          <w:tcPr>
            <w:tcW w:w="7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9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Dana Incorporated’s Quarterly Report on Form 10-Q for the quarter ended June 30, 2026, formatted in iXBRL (Inline Extensible Business Reporting Language): (i) the Consolidated Statement of Operations, (ii) the Consolidated Statement of Comprehensive Income, (iii) the Consolidated Balance Sheet, (iv) the Consolidated Statement of Cash Flows and (v) Notes to the Consolidated Financial Statements. Furnished with this Report.</w:t>
            </w:r>
          </w:p>
        </w:tc>
      </w:tr>
      <w:tr>
        <w:trPr/>
        <w:tc>
          <w:tcPr>
            <w:tcW w:w="734" w:type="dxa"/>
            <w:tcBorders/>
            <w:vAlign w:val="center"/>
          </w:tcPr>
          <w:p>
            <w:pPr>
              <w:pStyle w:val="TableContents"/>
              <w:bidi w:val="0"/>
              <w:spacing w:before="0" w:after="0"/>
              <w:ind w:left="0" w:right="0" w:hanging="0"/>
              <w:jc w:val="left"/>
              <w:rPr/>
            </w:pPr>
            <w:r>
              <w:rPr/>
              <w:t> </w:t>
            </w:r>
          </w:p>
        </w:tc>
        <w:tc>
          <w:tcPr>
            <w:tcW w:w="9471" w:type="dxa"/>
            <w:tcBorders/>
            <w:vAlign w:val="center"/>
          </w:tcPr>
          <w:p>
            <w:pPr>
              <w:pStyle w:val="TableContents"/>
              <w:bidi w:val="0"/>
              <w:spacing w:before="0" w:after="0"/>
              <w:ind w:left="0" w:right="0" w:hanging="0"/>
              <w:jc w:val="left"/>
              <w:rPr/>
            </w:pPr>
            <w:r>
              <w:rPr/>
              <w:t> </w:t>
            </w:r>
          </w:p>
        </w:tc>
      </w:tr>
      <w:tr>
        <w:trPr/>
        <w:tc>
          <w:tcPr>
            <w:tcW w:w="7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9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5" w:name="sigs"/>
      <w:bookmarkEnd w:id="35"/>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70"/>
        <w:gridCol w:w="1265"/>
        <w:gridCol w:w="410"/>
        <w:gridCol w:w="2405"/>
        <w:gridCol w:w="75"/>
      </w:tblGrid>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28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DANA INCORPORATED</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R. Kraus        </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44 </w:t>
      </w:r>
    </w:p>
    <w:p>
      <w:pPr>
        <w:pStyle w:val="TextBody"/>
        <w:bidi w:val="0"/>
        <w:spacing w:before="0" w:after="0"/>
        <w:ind w:left="0" w:right="0" w:hanging="0"/>
        <w:jc w:val="right"/>
        <w:rPr>
          <w:rFonts w:ascii="Times New Roman;Times;serif" w:hAnsi="Times New Roman;Times;serif"/>
          <w:b/>
          <w:sz w:val="20"/>
        </w:rPr>
      </w:pPr>
      <w:bookmarkStart w:id="36" w:name="ex_965006.htm"/>
      <w:bookmarkStart w:id="37" w:name="ksex_965006"/>
      <w:bookmarkEnd w:id="36"/>
      <w:bookmarkEnd w:id="37"/>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 Bruce McDonald, certify that:</w:t>
      </w:r>
    </w:p>
    <w:p>
      <w:pPr>
        <w:pStyle w:val="TextBody"/>
        <w:bidi w:val="0"/>
        <w:spacing w:before="0" w:after="0"/>
        <w:ind w:left="0" w:right="0" w:firstLine="720"/>
        <w:jc w:val="left"/>
        <w:rPr/>
      </w:pPr>
      <w:r>
        <w:rPr/>
        <w:t>    </w:t>
      </w:r>
    </w:p>
    <w:tbl>
      <w:tblPr>
        <w:tblW w:w="6250" w:type="dxa"/>
        <w:jc w:val="left"/>
        <w:tblInd w:w="0" w:type="dxa"/>
        <w:tblLayout w:type="fixed"/>
        <w:tblCellMar>
          <w:top w:w="0" w:type="dxa"/>
          <w:left w:w="0" w:type="dxa"/>
          <w:bottom w:w="0" w:type="dxa"/>
          <w:right w:w="0" w:type="dxa"/>
        </w:tblCellMar>
      </w:tblPr>
      <w:tblGrid>
        <w:gridCol w:w="215"/>
        <w:gridCol w:w="6035"/>
      </w:tblGrid>
      <w:tr>
        <w:trPr/>
        <w:tc>
          <w:tcPr>
            <w:tcW w:w="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w:t>
            </w:r>
          </w:p>
        </w:tc>
        <w:tc>
          <w:tcPr>
            <w:tcW w:w="6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Dana Incorporated;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2. </w:t>
            </w:r>
          </w:p>
        </w:tc>
        <w:tc>
          <w:tcPr>
            <w:tcW w:w="100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3. </w:t>
            </w:r>
          </w:p>
        </w:tc>
        <w:tc>
          <w:tcPr>
            <w:tcW w:w="100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4. </w:t>
            </w:r>
          </w:p>
        </w:tc>
        <w:tc>
          <w:tcPr>
            <w:tcW w:w="100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firstLine="435"/>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45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Date:  August 6, 2026</w:t>
      </w:r>
    </w:p>
    <w:p>
      <w:pPr>
        <w:pStyle w:val="TextBody"/>
        <w:bidi w:val="0"/>
        <w:spacing w:before="0" w:after="0"/>
        <w:ind w:left="0" w:right="0" w:hanging="0"/>
        <w:jc w:val="left"/>
        <w:rPr/>
      </w:pPr>
      <w:r>
        <w:rPr/>
        <w:t> </w:t>
      </w:r>
    </w:p>
    <w:tbl>
      <w:tblPr>
        <w:tblW w:w="3230" w:type="dxa"/>
        <w:jc w:val="left"/>
        <w:tblInd w:w="0" w:type="dxa"/>
        <w:tblLayout w:type="fixed"/>
        <w:tblCellMar>
          <w:top w:w="0" w:type="dxa"/>
          <w:left w:w="0" w:type="dxa"/>
          <w:bottom w:w="0" w:type="dxa"/>
          <w:right w:w="0" w:type="dxa"/>
        </w:tblCellMar>
      </w:tblPr>
      <w:tblGrid>
        <w:gridCol w:w="75"/>
        <w:gridCol w:w="3080"/>
        <w:gridCol w:w="75"/>
      </w:tblGrid>
      <w:tr>
        <w:trPr/>
        <w:tc>
          <w:tcPr>
            <w:tcW w:w="75"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Byron Foster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Foster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8" w:name="ex_965007.htm"/>
      <w:bookmarkStart w:id="39" w:name="ksex_965007"/>
      <w:bookmarkEnd w:id="38"/>
      <w:bookmarkEnd w:id="39"/>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Timothy R. Kraus, certify that:</w:t>
      </w:r>
    </w:p>
    <w:p>
      <w:pPr>
        <w:pStyle w:val="TextBody"/>
        <w:bidi w:val="0"/>
        <w:spacing w:before="0" w:after="0"/>
        <w:ind w:left="0" w:right="0" w:hanging="0"/>
        <w:jc w:val="left"/>
        <w:rPr/>
      </w:pPr>
      <w:r>
        <w:rPr/>
        <w:t>    </w:t>
      </w:r>
    </w:p>
    <w:tbl>
      <w:tblPr>
        <w:tblW w:w="6250" w:type="dxa"/>
        <w:jc w:val="left"/>
        <w:tblInd w:w="0" w:type="dxa"/>
        <w:tblLayout w:type="fixed"/>
        <w:tblCellMar>
          <w:top w:w="0" w:type="dxa"/>
          <w:left w:w="0" w:type="dxa"/>
          <w:bottom w:w="0" w:type="dxa"/>
          <w:right w:w="0" w:type="dxa"/>
        </w:tblCellMar>
      </w:tblPr>
      <w:tblGrid>
        <w:gridCol w:w="215"/>
        <w:gridCol w:w="603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t>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Dana Incorporated;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w:t>
            </w:r>
          </w:p>
        </w:tc>
        <w:tc>
          <w:tcPr>
            <w:tcW w:w="10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w:t>
            </w:r>
          </w:p>
        </w:tc>
        <w:tc>
          <w:tcPr>
            <w:tcW w:w="10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w:t>
            </w:r>
          </w:p>
        </w:tc>
        <w:tc>
          <w:tcPr>
            <w:tcW w:w="10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 </w:t>
      </w:r>
    </w:p>
    <w:tbl>
      <w:tblPr>
        <w:tblW w:w="4430" w:type="dxa"/>
        <w:jc w:val="left"/>
        <w:tblInd w:w="0" w:type="dxa"/>
        <w:tblLayout w:type="fixed"/>
        <w:tblCellMar>
          <w:top w:w="0" w:type="dxa"/>
          <w:left w:w="0" w:type="dxa"/>
          <w:bottom w:w="0" w:type="dxa"/>
          <w:right w:w="0" w:type="dxa"/>
        </w:tblCellMar>
      </w:tblPr>
      <w:tblGrid>
        <w:gridCol w:w="60"/>
        <w:gridCol w:w="4310"/>
        <w:gridCol w:w="60"/>
      </w:tblGrid>
      <w:tr>
        <w:trPr/>
        <w:tc>
          <w:tcPr>
            <w:tcW w:w="60" w:type="dxa"/>
            <w:tcBorders/>
            <w:vAlign w:val="center"/>
          </w:tcPr>
          <w:p>
            <w:pPr>
              <w:pStyle w:val="TableContents"/>
              <w:bidi w:val="0"/>
              <w:spacing w:before="0" w:after="0"/>
              <w:ind w:left="0" w:right="0" w:hanging="0"/>
              <w:jc w:val="left"/>
              <w:rPr/>
            </w:pPr>
            <w:r>
              <w:rPr/>
              <w:t> </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R. Kraus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0" w:name="ex_965008.htm"/>
      <w:bookmarkStart w:id="41" w:name="ksex_965008"/>
      <w:bookmarkEnd w:id="40"/>
      <w:bookmarkEnd w:id="41"/>
      <w:r>
        <w:rPr>
          <w:rFonts w:ascii="Times New Roman;Times;serif" w:hAnsi="Times New Roman;Times;serif"/>
          <w:b/>
          <w:sz w:val="20"/>
        </w:rPr>
        <w:t>EXHIBIT 32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18 U.S.C. Section 1350</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Quarterly Report of Dana Incorporated (Dana) on Form 10-Q for the three months ended </w:t>
      </w:r>
      <w:bookmarkStart w:id="42" w:name="led46696F2020761596725774295"/>
      <w:bookmarkEnd w:id="42"/>
      <w:r>
        <w:rPr>
          <w:rFonts w:ascii="Times New Roman;Times;serif" w:hAnsi="Times New Roman;Times;serif"/>
          <w:sz w:val="20"/>
        </w:rPr>
        <w:t>June 30, 2026, as filed with the Securities and Exchange Commission on the date hereof (the Report), each of the undersigned officers of Dana certifies pursuant to 18 U.S.C. Section 1350, as adopted pursuant to Section 906 of the Sarbanes-Oxley Act of 2002, that to such officer's knowledge:</w:t>
      </w:r>
    </w:p>
    <w:p>
      <w:pPr>
        <w:pStyle w:val="TextBody"/>
        <w:bidi w:val="0"/>
        <w:spacing w:before="0" w:after="0"/>
        <w:ind w:left="0" w:right="0" w:firstLine="360"/>
        <w:jc w:val="left"/>
        <w:rPr/>
      </w:pPr>
      <w:r>
        <w:rPr/>
        <w:t> </w:t>
      </w:r>
    </w:p>
    <w:tbl>
      <w:tblPr>
        <w:tblW w:w="9880" w:type="dxa"/>
        <w:jc w:val="left"/>
        <w:tblInd w:w="0" w:type="dxa"/>
        <w:tblLayout w:type="fixed"/>
        <w:tblCellMar>
          <w:top w:w="0" w:type="dxa"/>
          <w:left w:w="0" w:type="dxa"/>
          <w:bottom w:w="0" w:type="dxa"/>
          <w:right w:w="0" w:type="dxa"/>
        </w:tblCellMar>
      </w:tblPr>
      <w:tblGrid>
        <w:gridCol w:w="60"/>
        <w:gridCol w:w="245"/>
        <w:gridCol w:w="95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Dana as of the dates and for the periods expressed in the Report.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370" w:type="dxa"/>
        <w:jc w:val="left"/>
        <w:tblInd w:w="0" w:type="dxa"/>
        <w:tblLayout w:type="fixed"/>
        <w:tblCellMar>
          <w:top w:w="0" w:type="dxa"/>
          <w:left w:w="0" w:type="dxa"/>
          <w:bottom w:w="0" w:type="dxa"/>
          <w:right w:w="0" w:type="dxa"/>
        </w:tblCellMar>
      </w:tblPr>
      <w:tblGrid>
        <w:gridCol w:w="4310"/>
        <w:gridCol w:w="60"/>
      </w:tblGrid>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Byron Foster</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Foster</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Timothy R. Kraus</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60" w:type="dxa"/>
            <w:tcBorders/>
            <w:vAlign w:val="center"/>
          </w:tcPr>
          <w:p>
            <w:pPr>
              <w:pStyle w:val="TableContents"/>
              <w:bidi w:val="0"/>
              <w:spacing w:before="0" w:after="0"/>
              <w:ind w:left="0" w:right="0" w:hanging="0"/>
              <w:jc w:val="left"/>
              <w:rPr/>
            </w:pPr>
            <w:r>
              <w:rPr/>
              <w:t> </w:t>
            </w:r>
          </w:p>
        </w:tc>
      </w:tr>
      <w:tr>
        <w:trP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6780/000119312526267630/d71897dex21.htm" TargetMode="External"/><Relationship Id="rId3" Type="http://schemas.openxmlformats.org/officeDocument/2006/relationships/hyperlink" Target="http://www.sec.gov/Archives/edgar/data/26780/000119312526267630/d71897dex22.htm" TargetMode="External"/><Relationship Id="rId4" Type="http://schemas.openxmlformats.org/officeDocument/2006/relationships/hyperlink" Target="http://www.sec.gov/Archives/edgar/data/26780/000119312526268470/d60644dex101.htm" TargetMode="External"/><Relationship Id="rId5" Type="http://schemas.openxmlformats.org/officeDocument/2006/relationships/hyperlink" Target="http://www.sec.gov/Archives/edgar/data/26780/000119312526268470/d60644dex102.htm" TargetMode="External"/><Relationship Id="rId6" Type="http://schemas.openxmlformats.org/officeDocument/2006/relationships/hyperlink" Target="http://www.sec.gov/Archives/edgar/data/26780/000119312526300962/d81079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25740</Words>
  <Characters>136200</Characters>
  <CharactersWithSpaces>166260</CharactersWithSpaces>
  <Paragraphs>12064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