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Pour Brian Keith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3939 TECHNOLOGY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MAUMEE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DANA Inc</w:t>
              </w:r>
            </w:hyperlink>
            <w:r>
              <w:rPr/>
              <w:t xml:space="preserve"> [ </w:t>
            </w:r>
            <w:r>
              <w:rPr>
                <w:rFonts w:ascii="Times;serif" w:hAnsi="Times;serif"/>
                <w:color w:val="0000FF"/>
                <w:sz w:val="24"/>
                <w:shd w:fill="FFFFFF" w:val="clear"/>
              </w:rPr>
              <w:t>DAN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Pres Comm Veh Drive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275</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 rights accrued on previously granted restricted stock units and become exercisable proportionately with the restricted stock units to which they relate. Each dividend equivalent right is the economic equivalent of one share of Dana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L. Aossey on behalf of Brian K. Pour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0657" TargetMode="External"/><Relationship Id="rId5" Type="http://schemas.openxmlformats.org/officeDocument/2006/relationships/hyperlink" Target="http://www.sec.gov/cgi-bin/browse-edgar?action=getcompany&amp;CIK=00000267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3338</Characters>
  <CharactersWithSpaces>3885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