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Eaton Corporation plc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jc w:val="right"/>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b w:val="1"/>
          <w:bCs w:val="1"/>
          <w:color w:val="auto"/>
        </w:rPr>
        <w:t>Subject Company: Dana Incorporated</w:t>
      </w:r>
    </w:p>
    <w:p>
      <w:pPr>
        <w:jc w:val="right"/>
        <w:spacing w:after="0"/>
        <w:rPr>
          <w:sz w:val="20"/>
          <w:szCs w:val="20"/>
          <w:color w:val="auto"/>
        </w:rPr>
      </w:pPr>
      <w:r>
        <w:rPr>
          <w:rFonts w:ascii="Arial" w:cs="Arial" w:eastAsia="Arial" w:hAnsi="Arial"/>
          <w:sz w:val="18"/>
          <w:szCs w:val="18"/>
          <w:b w:val="1"/>
          <w:bCs w:val="1"/>
          <w:color w:val="auto"/>
        </w:rPr>
        <w:t>Commission File No.: 001-01063</w:t>
      </w:r>
    </w:p>
    <w:p>
      <w:pPr>
        <w:spacing w:after="0" w:line="180" w:lineRule="exact"/>
        <w:rPr>
          <w:sz w:val="24"/>
          <w:szCs w:val="24"/>
          <w:color w:val="auto"/>
        </w:rPr>
      </w:pPr>
    </w:p>
    <w:p>
      <w:pPr>
        <w:ind w:left="9580"/>
        <w:spacing w:after="0"/>
        <w:rPr>
          <w:sz w:val="20"/>
          <w:szCs w:val="20"/>
          <w:color w:val="auto"/>
        </w:rPr>
      </w:pPr>
      <w:r>
        <w:rPr>
          <w:rFonts w:ascii="Arial" w:cs="Arial" w:eastAsia="Arial" w:hAnsi="Arial"/>
          <w:sz w:val="17"/>
          <w:szCs w:val="17"/>
          <w:b w:val="1"/>
          <w:bCs w:val="1"/>
          <w:color w:val="auto"/>
        </w:rPr>
        <w:t>Date: June 11, 2026</w:t>
      </w:r>
    </w:p>
    <w:p>
      <w:pPr>
        <w:spacing w:after="0" w:line="200" w:lineRule="exact"/>
        <w:rPr>
          <w:sz w:val="24"/>
          <w:szCs w:val="24"/>
          <w:color w:val="auto"/>
        </w:rPr>
      </w:pPr>
    </w:p>
    <w:p>
      <w:pPr>
        <w:spacing w:after="0" w:line="241" w:lineRule="exact"/>
        <w:rPr>
          <w:sz w:val="24"/>
          <w:szCs w:val="24"/>
          <w:color w:val="auto"/>
        </w:rPr>
      </w:pPr>
    </w:p>
    <w:p>
      <w:pPr>
        <w:ind w:right="240"/>
        <w:spacing w:after="0" w:line="269" w:lineRule="auto"/>
        <w:rPr>
          <w:sz w:val="20"/>
          <w:szCs w:val="20"/>
          <w:color w:val="auto"/>
        </w:rPr>
      </w:pPr>
      <w:r>
        <w:rPr>
          <w:rFonts w:ascii="Arial" w:cs="Arial" w:eastAsia="Arial" w:hAnsi="Arial"/>
          <w:sz w:val="18"/>
          <w:szCs w:val="18"/>
          <w:i w:val="1"/>
          <w:iCs w:val="1"/>
          <w:color w:val="auto"/>
        </w:rPr>
        <w:t>The following Customer Frequently Asked Questions were posted by Eaton Corporation plc on the company’s website on June 11, 2026 in connection with the announcement of the proposed transaction with Dana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618045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180"/>
        <w:spacing w:after="0"/>
        <w:rPr>
          <w:sz w:val="20"/>
          <w:szCs w:val="20"/>
          <w:color w:val="auto"/>
        </w:rPr>
      </w:pPr>
      <w:r>
        <w:rPr>
          <w:rFonts w:ascii="Arial" w:cs="Arial" w:eastAsia="Arial" w:hAnsi="Arial"/>
          <w:sz w:val="22"/>
          <w:szCs w:val="22"/>
          <w:b w:val="1"/>
          <w:bCs w:val="1"/>
          <w:color w:val="FFFFFF"/>
        </w:rPr>
        <w:t>FREQUENTLY ASKED QUESTIONS AVAILABLE ON EATON.COM/MOBILITY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4" w:lineRule="exact"/>
        <w:rPr>
          <w:sz w:val="24"/>
          <w:szCs w:val="24"/>
          <w:color w:val="auto"/>
        </w:rPr>
      </w:pPr>
    </w:p>
    <w:p>
      <w:pPr>
        <w:ind w:left="660" w:right="180" w:hanging="328"/>
        <w:spacing w:after="0" w:line="24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Why is Eaton planning to combine the Mobility Group with Dana? </w:t>
      </w:r>
      <w:r>
        <w:rPr>
          <w:rFonts w:ascii="Arial" w:cs="Arial" w:eastAsia="Arial" w:hAnsi="Arial"/>
          <w:sz w:val="18"/>
          <w:szCs w:val="18"/>
          <w:color w:val="auto"/>
        </w:rPr>
        <w:t>The transaction positions the combined business for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including the ability to better serve the needs of global mobility customers through complementary and comprehensive product offerings. The new organization will have a stronger financial profile, enabling investment in the technologies and markets that matter most to automotive and commercial vehicle customers and for the aftermarket.</w:t>
      </w:r>
    </w:p>
    <w:p>
      <w:pPr>
        <w:spacing w:after="0" w:line="92" w:lineRule="exact"/>
        <w:rPr>
          <w:rFonts w:ascii="Arial" w:cs="Arial" w:eastAsia="Arial" w:hAnsi="Arial"/>
          <w:sz w:val="18"/>
          <w:szCs w:val="18"/>
          <w:b w:val="1"/>
          <w:bCs w:val="1"/>
          <w:color w:val="auto"/>
        </w:rPr>
      </w:pPr>
    </w:p>
    <w:p>
      <w:pPr>
        <w:ind w:left="660" w:right="580" w:hanging="328"/>
        <w:spacing w:after="0" w:line="27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 will lead the new company? </w:t>
      </w:r>
      <w:r>
        <w:rPr>
          <w:rFonts w:ascii="Arial" w:cs="Arial" w:eastAsia="Arial" w:hAnsi="Arial"/>
          <w:sz w:val="18"/>
          <w:szCs w:val="18"/>
          <w:color w:val="auto"/>
        </w:rPr>
        <w:t>The combined company’s senior management team will include representatives from both</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to enable business and customer continuity and operational discipline.</w:t>
      </w:r>
    </w:p>
    <w:p>
      <w:pPr>
        <w:spacing w:after="0" w:line="86" w:lineRule="exact"/>
        <w:rPr>
          <w:rFonts w:ascii="Arial" w:cs="Arial" w:eastAsia="Arial" w:hAnsi="Arial"/>
          <w:sz w:val="18"/>
          <w:szCs w:val="18"/>
          <w:b w:val="1"/>
          <w:bCs w:val="1"/>
          <w:color w:val="auto"/>
        </w:rPr>
      </w:pPr>
    </w:p>
    <w:p>
      <w:pPr>
        <w:ind w:left="66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Byron Foster, Dana’s incoming Chief Executive Officer, and Timothy Kraus, Dana’s current Chief Financial Officer, will lead the combined company as CEO and CFO, respectively. Erin Rowse, Eaton’s current Senior Vice President Human Resources, Industrial, will serve as the combined company’s Chief Human Resources Officer upon close. Additionally Dana's eight-member board of directors will be expanded to include three additional directors designated by Eaton, including one current Eaton executive and two current Eaton directors.</w:t>
      </w:r>
    </w:p>
    <w:p>
      <w:pPr>
        <w:spacing w:after="0" w:line="10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Additional details regarding the combined company’s leadership will be shared as they are finalized.</w:t>
      </w:r>
    </w:p>
    <w:p>
      <w:pPr>
        <w:spacing w:after="0" w:line="130"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 will the transaction be completed? </w:t>
      </w:r>
      <w:r>
        <w:rPr>
          <w:rFonts w:ascii="Arial" w:cs="Arial" w:eastAsia="Arial" w:hAnsi="Arial"/>
          <w:sz w:val="18"/>
          <w:szCs w:val="18"/>
          <w:color w:val="auto"/>
        </w:rPr>
        <w:t>We expect the transaction to be completed in Q1 2027.</w:t>
      </w:r>
    </w:p>
    <w:p>
      <w:pPr>
        <w:spacing w:after="0" w:line="157" w:lineRule="exact"/>
        <w:rPr>
          <w:rFonts w:ascii="Arial" w:cs="Arial" w:eastAsia="Arial" w:hAnsi="Arial"/>
          <w:sz w:val="18"/>
          <w:szCs w:val="18"/>
          <w:b w:val="1"/>
          <w:bCs w:val="1"/>
          <w:color w:val="auto"/>
        </w:rPr>
      </w:pPr>
    </w:p>
    <w:p>
      <w:pPr>
        <w:jc w:val="both"/>
        <w:ind w:left="660" w:right="580" w:hanging="328"/>
        <w:spacing w:after="0" w:line="253"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products and solutions will be available? Will I still have access to the same products and solutions I have now through Eaton? </w:t>
      </w:r>
      <w:r>
        <w:rPr>
          <w:rFonts w:ascii="Arial" w:cs="Arial" w:eastAsia="Arial" w:hAnsi="Arial"/>
          <w:sz w:val="18"/>
          <w:szCs w:val="18"/>
          <w:color w:val="auto"/>
        </w:rPr>
        <w:t>Dana was attracted to Eaton’s Mobility Group because of the complementary portfolio and its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excellence.</w:t>
      </w:r>
    </w:p>
    <w:p>
      <w:pPr>
        <w:spacing w:after="0" w:line="101" w:lineRule="exact"/>
        <w:rPr>
          <w:sz w:val="24"/>
          <w:szCs w:val="24"/>
          <w:color w:val="auto"/>
        </w:rPr>
      </w:pPr>
    </w:p>
    <w:p>
      <w:pPr>
        <w:ind w:left="1300" w:right="320" w:hanging="320"/>
        <w:spacing w:after="0" w:line="253" w:lineRule="auto"/>
        <w:tabs>
          <w:tab w:leader="none" w:pos="1300" w:val="left"/>
        </w:tabs>
        <w:numPr>
          <w:ilvl w:val="1"/>
          <w:numId w:val="2"/>
        </w:numPr>
        <w:rPr>
          <w:rFonts w:ascii="Courier New" w:cs="Courier New" w:eastAsia="Courier New" w:hAnsi="Courier New"/>
          <w:sz w:val="18"/>
          <w:szCs w:val="18"/>
          <w:color w:val="auto"/>
        </w:rPr>
      </w:pPr>
      <w:r>
        <w:rPr>
          <w:rFonts w:ascii="Arial" w:cs="Arial" w:eastAsia="Arial" w:hAnsi="Arial"/>
          <w:sz w:val="18"/>
          <w:szCs w:val="18"/>
          <w:color w:val="auto"/>
        </w:rPr>
        <w:t>For customers that are purchasing products from our Mobility business today, these products will become part of the new company’s portfolio.</w:t>
      </w:r>
    </w:p>
    <w:p>
      <w:pPr>
        <w:spacing w:after="0" w:line="86" w:lineRule="exact"/>
        <w:rPr>
          <w:rFonts w:ascii="Courier New" w:cs="Courier New" w:eastAsia="Courier New" w:hAnsi="Courier New"/>
          <w:sz w:val="18"/>
          <w:szCs w:val="18"/>
          <w:color w:val="auto"/>
        </w:rPr>
      </w:pPr>
    </w:p>
    <w:p>
      <w:pPr>
        <w:ind w:left="1300" w:right="700" w:hanging="320"/>
        <w:spacing w:after="0" w:line="253" w:lineRule="auto"/>
        <w:tabs>
          <w:tab w:leader="none" w:pos="1300" w:val="left"/>
        </w:tabs>
        <w:numPr>
          <w:ilvl w:val="1"/>
          <w:numId w:val="2"/>
        </w:numPr>
        <w:rPr>
          <w:rFonts w:ascii="Courier New" w:cs="Courier New" w:eastAsia="Courier New" w:hAnsi="Courier New"/>
          <w:sz w:val="18"/>
          <w:szCs w:val="18"/>
          <w:color w:val="auto"/>
        </w:rPr>
      </w:pPr>
      <w:r>
        <w:rPr>
          <w:rFonts w:ascii="Arial" w:cs="Arial" w:eastAsia="Arial" w:hAnsi="Arial"/>
          <w:sz w:val="18"/>
          <w:szCs w:val="18"/>
          <w:color w:val="auto"/>
        </w:rPr>
        <w:t>For customers that purchase a broader portfolio of products from Eaton today (e.g., from our Electrical or Aerospace businesses), you will purchase those products from Eaton as a distinct company.</w:t>
      </w:r>
    </w:p>
    <w:p>
      <w:pPr>
        <w:spacing w:after="0" w:line="100" w:lineRule="exact"/>
        <w:rPr>
          <w:rFonts w:ascii="Courier New" w:cs="Courier New" w:eastAsia="Courier New" w:hAnsi="Courier New"/>
          <w:sz w:val="18"/>
          <w:szCs w:val="18"/>
          <w:color w:val="auto"/>
        </w:rPr>
      </w:pPr>
    </w:p>
    <w:p>
      <w:pPr>
        <w:ind w:left="660" w:right="120" w:hanging="328"/>
        <w:spacing w:after="0" w:line="253"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should customers expect over the coming months? </w:t>
      </w:r>
      <w:r>
        <w:rPr>
          <w:rFonts w:ascii="Arial" w:cs="Arial" w:eastAsia="Arial" w:hAnsi="Arial"/>
          <w:sz w:val="18"/>
          <w:szCs w:val="18"/>
          <w:color w:val="auto"/>
        </w:rPr>
        <w:t>As the separation progresses, there may be updates to bank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remittance addresses or EDI configurations. Where changes are required, we will reach out to customers in advance and provide detailed guidance to support a smooth transition.</w:t>
      </w:r>
    </w:p>
    <w:p>
      <w:pPr>
        <w:spacing w:after="0" w:line="101" w:lineRule="exact"/>
        <w:rPr>
          <w:rFonts w:ascii="Arial" w:cs="Arial" w:eastAsia="Arial" w:hAnsi="Arial"/>
          <w:sz w:val="18"/>
          <w:szCs w:val="18"/>
          <w:b w:val="1"/>
          <w:bCs w:val="1"/>
          <w:color w:val="auto"/>
        </w:rPr>
      </w:pPr>
    </w:p>
    <w:p>
      <w:pPr>
        <w:ind w:left="660" w:right="260" w:hanging="328"/>
        <w:spacing w:after="0" w:line="24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Will the locations of offices and manufacturing sites stay the same? </w:t>
      </w:r>
      <w:r>
        <w:rPr>
          <w:rFonts w:ascii="Arial" w:cs="Arial" w:eastAsia="Arial" w:hAnsi="Arial"/>
          <w:sz w:val="18"/>
          <w:szCs w:val="18"/>
          <w:color w:val="auto"/>
        </w:rPr>
        <w:t>As we move through the separation planning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there may be changes at sites where Eaton and Mobility Group employees were previously located. We will also be assessing the footprint of the combined Mobility and Dana company to identify the optimum locations from which to serve customers. We do not anticipate any disruption to customers, and any changes will be communicated in advance.</w:t>
      </w:r>
    </w:p>
    <w:p>
      <w:pPr>
        <w:spacing w:after="0" w:line="92" w:lineRule="exact"/>
        <w:rPr>
          <w:rFonts w:ascii="Arial" w:cs="Arial" w:eastAsia="Arial" w:hAnsi="Arial"/>
          <w:sz w:val="18"/>
          <w:szCs w:val="18"/>
          <w:b w:val="1"/>
          <w:bCs w:val="1"/>
          <w:color w:val="auto"/>
        </w:rPr>
      </w:pPr>
    </w:p>
    <w:p>
      <w:pPr>
        <w:ind w:left="660" w:right="60" w:hanging="328"/>
        <w:spacing w:after="0" w:line="253"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How is Eaton going to ensure service levels are maintained during the separation and combination process? </w:t>
      </w:r>
      <w:r>
        <w:rPr>
          <w:rFonts w:ascii="Arial" w:cs="Arial" w:eastAsia="Arial" w:hAnsi="Arial"/>
          <w:sz w:val="18"/>
          <w:szCs w:val="18"/>
          <w:color w:val="auto"/>
        </w:rPr>
        <w:t>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remain a top priority as we move through the separation and merger planning process. All of the trusted people you work with today will remain the key points of contact and will continue to serve with the same commitment as they do today.</w:t>
      </w:r>
    </w:p>
    <w:p>
      <w:pPr>
        <w:spacing w:after="0" w:line="101" w:lineRule="exact"/>
        <w:rPr>
          <w:rFonts w:ascii="Arial" w:cs="Arial" w:eastAsia="Arial" w:hAnsi="Arial"/>
          <w:sz w:val="18"/>
          <w:szCs w:val="18"/>
          <w:b w:val="1"/>
          <w:bCs w:val="1"/>
          <w:color w:val="auto"/>
        </w:rPr>
      </w:pPr>
    </w:p>
    <w:p>
      <w:pPr>
        <w:ind w:left="660" w:right="20" w:hanging="328"/>
        <w:spacing w:after="0" w:line="253"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Will the contact details for customer support change? </w:t>
      </w:r>
      <w:r>
        <w:rPr>
          <w:rFonts w:ascii="Arial" w:cs="Arial" w:eastAsia="Arial" w:hAnsi="Arial"/>
          <w:sz w:val="18"/>
          <w:szCs w:val="18"/>
          <w:color w:val="auto"/>
        </w:rPr>
        <w:t>No, contacts will stay the same through this process. After combining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and conducting a thorough review of its reach, the combined company will develop a structure that most effectively drives growth.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618045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180455" cy="668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8" w:right="260" w:hanging="328"/>
        <w:spacing w:after="0" w:line="271" w:lineRule="auto"/>
        <w:tabs>
          <w:tab w:leader="none" w:pos="3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How will the products be branded in the future? </w:t>
      </w:r>
      <w:r>
        <w:rPr>
          <w:rFonts w:ascii="Arial" w:cs="Arial" w:eastAsia="Arial" w:hAnsi="Arial"/>
          <w:sz w:val="18"/>
          <w:szCs w:val="18"/>
          <w:color w:val="auto"/>
        </w:rPr>
        <w:t>The plan is that Mobility Group will transition to the Dana brand name upon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of the transaction, and we will work with Dana to support a thoughtful transition.</w:t>
      </w:r>
    </w:p>
    <w:p>
      <w:pPr>
        <w:spacing w:after="0" w:line="86" w:lineRule="exact"/>
        <w:rPr>
          <w:rFonts w:ascii="Arial" w:cs="Arial" w:eastAsia="Arial" w:hAnsi="Arial"/>
          <w:sz w:val="18"/>
          <w:szCs w:val="18"/>
          <w:b w:val="1"/>
          <w:bCs w:val="1"/>
          <w:color w:val="auto"/>
        </w:rPr>
      </w:pPr>
    </w:p>
    <w:p>
      <w:pPr>
        <w:ind w:left="328" w:hanging="328"/>
        <w:spacing w:after="0" w:line="271" w:lineRule="auto"/>
        <w:tabs>
          <w:tab w:leader="none" w:pos="3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 I still use the same systems and processes? </w:t>
      </w:r>
      <w:r>
        <w:rPr>
          <w:rFonts w:ascii="Arial" w:cs="Arial" w:eastAsia="Arial" w:hAnsi="Arial"/>
          <w:sz w:val="18"/>
          <w:szCs w:val="18"/>
          <w:color w:val="auto"/>
        </w:rPr>
        <w:t>For now, nothing is changing about the systems and processes you use. More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will be shared about any changes to systems, tools or processes.</w:t>
      </w:r>
    </w:p>
    <w:p>
      <w:pPr>
        <w:spacing w:after="0" w:line="72" w:lineRule="exact"/>
        <w:rPr>
          <w:rFonts w:ascii="Arial" w:cs="Arial" w:eastAsia="Arial" w:hAnsi="Arial"/>
          <w:sz w:val="18"/>
          <w:szCs w:val="18"/>
          <w:b w:val="1"/>
          <w:bCs w:val="1"/>
          <w:color w:val="auto"/>
        </w:rPr>
      </w:pPr>
    </w:p>
    <w:p>
      <w:pPr>
        <w:ind w:left="328" w:hanging="328"/>
        <w:spacing w:after="0"/>
        <w:tabs>
          <w:tab w:leader="none" w:pos="32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 can I reach out to with additional questions? </w:t>
      </w:r>
      <w:r>
        <w:rPr>
          <w:rFonts w:ascii="Arial" w:cs="Arial" w:eastAsia="Arial" w:hAnsi="Arial"/>
          <w:sz w:val="18"/>
          <w:szCs w:val="18"/>
          <w:color w:val="auto"/>
        </w:rPr>
        <w:t>Please reach out to your local sales contact with additional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943610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8"/>
          </w:cols>
          <w:pgMar w:left="652" w:top="1440"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Cautionary Notes on Forward-Looking Statements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forward-looking statements are based on Eaton’s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Eaton’s and Dana’s stock prices; restrictions on the conduct of Eaton’s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Eaton’s and Dana’s reports filed with the Securities and Exchange Commission (the “SEC”), including Eaton’s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It should also be noted that projected financial information for the combined company is based on management’s estimates, assumptions and projections and has not been prepared in conformance with the applicable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8"/>
          <w:szCs w:val="18"/>
          <w:color w:val="auto"/>
        </w:rPr>
        <w:t>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 About the Transaction and Where to Find It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w:t>
      </w:r>
    </w:p>
    <w:p>
      <w:pPr>
        <w:spacing w:after="0" w:line="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communication is not intended to and shall not constitute an offer to sell or the solicitation of an offer to sell or the solicitation of an offer to buy or exchange any securities, or a solicitation of any vote or approval, nor shall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8"/>
          <w:szCs w:val="18"/>
          <w:color w:val="auto"/>
        </w:rPr>
        <w:t>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Use of Non-GAAP Financial Measures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the financial measures presented in accordance with U.S. generally accepted accounting principles (“U.S. GAAP”), this communication includes certain non-GAAP financial measures (collectively, the “Non-GAAP Measures”), such as EBITDA, adjusted EBITDA, adjusted EBITDA margin, free cash flow, adjusted free cash flow and adjusted free cash flow margin.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except for financial guidance and other forward-looking information since such a reconciliation is not practicable without unreasonable effort as Dana is unable to reasonably forecast certain amounts that are necessary for such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2026-06-11T15:36:16Z</dcterms:created>
  <dcterms:modified xsi:type="dcterms:W3CDTF">2026-06-11T15:36:16Z</dcterms:modified>
</cp:coreProperties>
</file>