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Dana Incorporated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2"/>
          <w:szCs w:val="12"/>
          <w:b w:val="1"/>
          <w:bCs w:val="1"/>
          <w:color w:val="auto"/>
        </w:rPr>
        <w:t>1-1063</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26-1531856</w:t>
      </w:r>
    </w:p>
    <w:p>
      <w:pPr>
        <w:spacing w:after="0" w:line="13" w:lineRule="exact"/>
        <w:rPr>
          <w:sz w:val="24"/>
          <w:szCs w:val="24"/>
          <w:color w:val="auto"/>
        </w:rPr>
      </w:pPr>
    </w:p>
    <w:p>
      <w:pPr>
        <w:sectPr>
          <w:pgSz w:w="11900" w:h="16838" w:orient="portrait"/>
          <w:cols w:equalWidth="0" w:num="3">
            <w:col w:w="3680" w:space="720"/>
            <w:col w:w="170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23"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3939 Technology Drive, Maumee, Ohio 43537</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(419) 887-3000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4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DAN</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On June 11, 2026, Dana Incorporated, a Delaware corporation (“</w:t>
      </w:r>
      <w:r>
        <w:rPr>
          <w:rFonts w:ascii="Times New Roman" w:cs="Times New Roman" w:eastAsia="Times New Roman" w:hAnsi="Times New Roman"/>
          <w:sz w:val="13"/>
          <w:szCs w:val="13"/>
          <w:b w:val="1"/>
          <w:bCs w:val="1"/>
          <w:color w:val="auto"/>
        </w:rPr>
        <w:t>Dana</w:t>
      </w:r>
      <w:r>
        <w:rPr>
          <w:rFonts w:ascii="Times New Roman" w:cs="Times New Roman" w:eastAsia="Times New Roman" w:hAnsi="Times New Roman"/>
          <w:sz w:val="13"/>
          <w:szCs w:val="13"/>
          <w:color w:val="auto"/>
        </w:rPr>
        <w:t>”), issued a press release announcing the proposed combination (the</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Proposed Combination</w:t>
      </w:r>
      <w:r>
        <w:rPr>
          <w:rFonts w:ascii="Times New Roman" w:cs="Times New Roman" w:eastAsia="Times New Roman" w:hAnsi="Times New Roman"/>
          <w:sz w:val="13"/>
          <w:szCs w:val="13"/>
          <w:color w:val="auto"/>
        </w:rPr>
        <w:t>”) of Dana and the Vehicle and eMobility business segments of Eaton Corporation plc, an Irish public limited company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Eaton</w:t>
      </w:r>
      <w:r>
        <w:rPr>
          <w:rFonts w:ascii="Times New Roman" w:cs="Times New Roman" w:eastAsia="Times New Roman" w:hAnsi="Times New Roman"/>
          <w:sz w:val="12"/>
          <w:szCs w:val="12"/>
          <w:color w:val="auto"/>
        </w:rPr>
        <w:t>”). A copy of the press release is attached hereto as Exhibit 99.1. The press release also announced that Dana will be hosting a conference call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webcast at 8:30 a.m., Eastern Time, on June 11, 2026, to discuss the Proposed Combination. The presentation to be used during the conference call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 webcast is attached hereto as Exhibit 99.2.</w:t>
      </w:r>
    </w:p>
    <w:p>
      <w:pPr>
        <w:spacing w:after="0" w:line="141"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including Exhibits 99.1 and 99.2, is being “furnished” and shall not be deemed “filed” for the purposes of Section 18 of the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is not subject to the liabilities of that section and is not deemed incorporated by reference in any filing under the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or the Exchange Act, except as shall be expressly set forth by specific reference in such a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This communication includes “forward-looking statements” within the meaning of the federal securities laws, including Section 27A of the Securities Act and Section 21E of the Exchange Act, as amended by the Private Securities Litigation Reform Act of 1995, including statements regarding the proposed transaction between Eaton, Dana and Mobility (USA) Corporation (“</w:t>
      </w:r>
      <w:r>
        <w:rPr>
          <w:rFonts w:ascii="Times New Roman" w:cs="Times New Roman" w:eastAsia="Times New Roman" w:hAnsi="Times New Roman"/>
          <w:sz w:val="13"/>
          <w:szCs w:val="13"/>
          <w:b w:val="1"/>
          <w:bCs w:val="1"/>
          <w:color w:val="auto"/>
        </w:rPr>
        <w:t>SpinCo</w:t>
      </w:r>
      <w:r>
        <w:rPr>
          <w:rFonts w:ascii="Times New Roman" w:cs="Times New Roman" w:eastAsia="Times New Roman" w:hAnsi="Times New Roman"/>
          <w:sz w:val="13"/>
          <w:szCs w:val="13"/>
          <w:color w:val="auto"/>
        </w:rPr>
        <w:t>”).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136"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These forward-looking statements are based on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 and Dana’s stock prices; restrictions on the conduct of Eaton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w:t>
      </w:r>
    </w:p>
    <w:p>
      <w:pPr>
        <w:sectPr>
          <w:pgSz w:w="11900" w:h="16838" w:orient="portrait"/>
          <w:cols w:equalWidth="0" w:num="1">
            <w:col w:w="9019"/>
          </w:cols>
          <w:pgMar w:left="1440" w:top="248" w:right="1440" w:bottom="1440" w:gutter="0" w:footer="0" w:header="0"/>
        </w:sectPr>
      </w:pPr>
    </w:p>
    <w:bookmarkStart w:id="2" w:name="page3"/>
    <w:bookmarkEnd w:id="2"/>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 and Dana’s reports filed with the SEC, including Eaton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136" w:lineRule="exact"/>
        <w:rPr>
          <w:sz w:val="20"/>
          <w:szCs w:val="20"/>
          <w:color w:val="auto"/>
        </w:rPr>
      </w:pPr>
    </w:p>
    <w:p>
      <w:pPr>
        <w:ind w:left="640" w:right="999" w:firstLine="309"/>
        <w:spacing w:after="0" w:line="255" w:lineRule="auto"/>
        <w:rPr>
          <w:sz w:val="20"/>
          <w:szCs w:val="20"/>
          <w:color w:val="auto"/>
        </w:rPr>
      </w:pPr>
      <w:r>
        <w:rPr>
          <w:rFonts w:ascii="Times New Roman" w:cs="Times New Roman" w:eastAsia="Times New Roman" w:hAnsi="Times New Roman"/>
          <w:sz w:val="13"/>
          <w:szCs w:val="13"/>
          <w:color w:val="auto"/>
        </w:rPr>
        <w:t>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Information About the Transaction and Where to Find It</w:t>
      </w:r>
    </w:p>
    <w:p>
      <w:pPr>
        <w:spacing w:after="0" w:line="78" w:lineRule="exact"/>
        <w:rPr>
          <w:sz w:val="20"/>
          <w:szCs w:val="20"/>
          <w:color w:val="auto"/>
        </w:rPr>
      </w:pPr>
    </w:p>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t>In connection with the proposed transaction, SpinCo may file with the SEC an information statement on Form 10 (“</w:t>
      </w:r>
      <w:r>
        <w:rPr>
          <w:rFonts w:ascii="Times New Roman" w:cs="Times New Roman" w:eastAsia="Times New Roman" w:hAnsi="Times New Roman"/>
          <w:sz w:val="12"/>
          <w:szCs w:val="12"/>
          <w:b w:val="1"/>
          <w:bCs w:val="1"/>
          <w:color w:val="auto"/>
        </w:rPr>
        <w:t>Form 10</w:t>
      </w:r>
      <w:r>
        <w:rPr>
          <w:rFonts w:ascii="Times New Roman" w:cs="Times New Roman" w:eastAsia="Times New Roman" w:hAnsi="Times New Roman"/>
          <w:sz w:val="12"/>
          <w:szCs w:val="12"/>
          <w:color w:val="auto"/>
        </w:rPr>
        <w:t>”) or a registration statement on Form S-1/S-4 (the “</w:t>
      </w:r>
      <w:r>
        <w:rPr>
          <w:rFonts w:ascii="Times New Roman" w:cs="Times New Roman" w:eastAsia="Times New Roman" w:hAnsi="Times New Roman"/>
          <w:sz w:val="12"/>
          <w:szCs w:val="12"/>
          <w:b w:val="1"/>
          <w:bCs w:val="1"/>
          <w:color w:val="auto"/>
        </w:rPr>
        <w:t>Form S-1/S-4</w:t>
      </w:r>
      <w:r>
        <w:rPr>
          <w:rFonts w:ascii="Times New Roman" w:cs="Times New Roman" w:eastAsia="Times New Roman" w:hAnsi="Times New Roman"/>
          <w:sz w:val="12"/>
          <w:szCs w:val="12"/>
          <w:color w:val="auto"/>
        </w:rPr>
        <w:t>”) that constitutes a prospectus with respect to the shares of common stock, par value $0.01 per share, of SpinCo (the “</w:t>
      </w:r>
      <w:r>
        <w:rPr>
          <w:rFonts w:ascii="Times New Roman" w:cs="Times New Roman" w:eastAsia="Times New Roman" w:hAnsi="Times New Roman"/>
          <w:sz w:val="12"/>
          <w:szCs w:val="12"/>
          <w:b w:val="1"/>
          <w:bCs w:val="1"/>
          <w:color w:val="auto"/>
        </w:rPr>
        <w:t>SpinCo shares</w:t>
      </w:r>
      <w:r>
        <w:rPr>
          <w:rFonts w:ascii="Times New Roman" w:cs="Times New Roman" w:eastAsia="Times New Roman" w:hAnsi="Times New Roman"/>
          <w:sz w:val="12"/>
          <w:szCs w:val="12"/>
          <w:color w:val="auto"/>
        </w:rPr>
        <w:t>”) to be issued to Eaton shareholders in the proposed exchange offer (the “</w:t>
      </w:r>
      <w:r>
        <w:rPr>
          <w:rFonts w:ascii="Times New Roman" w:cs="Times New Roman" w:eastAsia="Times New Roman" w:hAnsi="Times New Roman"/>
          <w:sz w:val="12"/>
          <w:szCs w:val="12"/>
          <w:b w:val="1"/>
          <w:bCs w:val="1"/>
          <w:color w:val="auto"/>
        </w:rPr>
        <w:t>prospectus/offer to exchange</w:t>
      </w:r>
      <w:r>
        <w:rPr>
          <w:rFonts w:ascii="Times New Roman" w:cs="Times New Roman" w:eastAsia="Times New Roman" w:hAnsi="Times New Roman"/>
          <w:sz w:val="12"/>
          <w:szCs w:val="12"/>
          <w:color w:val="auto"/>
        </w:rPr>
        <w:t>”). Eaton may also file with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a tender offer statement (the “</w:t>
      </w:r>
      <w:r>
        <w:rPr>
          <w:rFonts w:ascii="Times New Roman" w:cs="Times New Roman" w:eastAsia="Times New Roman" w:hAnsi="Times New Roman"/>
          <w:sz w:val="12"/>
          <w:szCs w:val="12"/>
          <w:b w:val="1"/>
          <w:bCs w:val="1"/>
          <w:color w:val="auto"/>
        </w:rPr>
        <w:t>Schedule TO</w:t>
      </w:r>
      <w:r>
        <w:rPr>
          <w:rFonts w:ascii="Times New Roman" w:cs="Times New Roman" w:eastAsia="Times New Roman" w:hAnsi="Times New Roman"/>
          <w:sz w:val="12"/>
          <w:szCs w:val="12"/>
          <w:color w:val="auto"/>
        </w:rPr>
        <w:t>”)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that will include a proxy statement of Dana and that also constitutes a prospectus of SpinCo with respect to the SpinCo shares to be issued in the proposed merger (the “</w:t>
      </w:r>
      <w:r>
        <w:rPr>
          <w:rFonts w:ascii="Times New Roman" w:cs="Times New Roman" w:eastAsia="Times New Roman" w:hAnsi="Times New Roman"/>
          <w:sz w:val="12"/>
          <w:szCs w:val="12"/>
          <w:b w:val="1"/>
          <w:bCs w:val="1"/>
          <w:color w:val="auto"/>
        </w:rPr>
        <w:t>proxy statement/prospectus</w:t>
      </w:r>
      <w:r>
        <w:rPr>
          <w:rFonts w:ascii="Times New Roman" w:cs="Times New Roman" w:eastAsia="Times New Roman" w:hAnsi="Times New Roman"/>
          <w:sz w:val="12"/>
          <w:szCs w:val="12"/>
          <w:color w:val="auto"/>
        </w:rPr>
        <w:t>”).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sectPr>
          <w:pgSz w:w="11900" w:h="16838" w:orient="portrait"/>
          <w:cols w:equalWidth="0" w:num="1">
            <w:col w:w="9019"/>
          </w:cols>
          <w:pgMar w:left="1440" w:top="250" w:right="1440" w:bottom="1440" w:gutter="0" w:footer="0" w:header="0"/>
        </w:sectPr>
      </w:pPr>
    </w:p>
    <w:bookmarkStart w:id="3" w:name="page4"/>
    <w:bookmarkEnd w:id="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Participants in the Solicitation</w:t>
      </w:r>
    </w:p>
    <w:p>
      <w:pPr>
        <w:spacing w:after="0" w:line="80"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73"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Dana Incorporated Press Release, dated June 11, 2026</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Dana Incorporated Investor Presentation, dated June 11, 2026</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w:t>
      </w:r>
    </w:p>
    <w:p>
      <w:pPr>
        <w:sectPr>
          <w:pgSz w:w="11900" w:h="16838" w:orient="portrait"/>
          <w:cols w:equalWidth="0" w:num="1">
            <w:col w:w="9019"/>
          </w:cols>
          <w:pgMar w:left="1440" w:top="248"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DANA INCORPORATED</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Douglas H. Liedberg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Douglas H. Liedberg</w:t>
      </w:r>
    </w:p>
    <w:p>
      <w:pPr>
        <w:spacing w:after="0" w:line="15"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Senior Vice President, Chief Legal and Human</w:t>
      </w:r>
    </w:p>
    <w:p>
      <w:pPr>
        <w:spacing w:after="0" w:line="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3"/>
          <w:szCs w:val="13"/>
          <w:color w:val="auto"/>
        </w:rPr>
        <w:t>Resources Officer and Corporate Secretary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June 11, 2026</w:t>
      </w:r>
    </w:p>
    <w:p>
      <w:pPr>
        <w:sectPr>
          <w:pgSz w:w="11900" w:h="16838" w:orient="portrait"/>
          <w:cols w:equalWidth="0" w:num="1">
            <w:col w:w="9019"/>
          </w:cols>
          <w:pgMar w:left="1440" w:top="248" w:right="1440" w:bottom="1440" w:gutter="0" w:footer="0" w:header="0"/>
        </w:sectPr>
      </w:pPr>
    </w:p>
    <w:bookmarkStart w:id="5" w:name="page6"/>
    <w:bookmarkEnd w:id="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317500</wp:posOffset>
            </wp:positionV>
            <wp:extent cx="5157470" cy="607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57470"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 </w:t>
      </w:r>
    </w:p>
    <w:p>
      <w:pPr>
        <w:spacing w:after="0" w:line="153"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b w:val="1"/>
          <w:bCs w:val="1"/>
          <w:color w:val="auto"/>
        </w:rPr>
        <w:t>Dana Incorporated Announces Agreement to Combine with Eaton’s Mobility Business, Strengthens Dana’s Position as a Leading Global Powertrain Systems Provider</w:t>
      </w:r>
    </w:p>
    <w:p>
      <w:pPr>
        <w:spacing w:after="0" w:line="137" w:lineRule="exact"/>
        <w:rPr>
          <w:sz w:val="20"/>
          <w:szCs w:val="20"/>
          <w:color w:val="auto"/>
        </w:rPr>
      </w:pPr>
    </w:p>
    <w:p>
      <w:pPr>
        <w:ind w:left="1320" w:right="779" w:hanging="303"/>
        <w:spacing w:after="0" w:line="257" w:lineRule="auto"/>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Creates a premier, global powertrain leader focused on commercial and light vehicles with approximately $11 billion in sales and approximately $1.7 billion adjusted EBITDA (approximately 15% adjusted EBITDA margin) on a fully synergized, pro forma 2026 estimated basis</w:t>
      </w:r>
    </w:p>
    <w:p>
      <w:pPr>
        <w:spacing w:after="0" w:line="59" w:lineRule="exact"/>
        <w:rPr>
          <w:rFonts w:ascii="Times New Roman" w:cs="Times New Roman" w:eastAsia="Times New Roman" w:hAnsi="Times New Roman"/>
          <w:sz w:val="13"/>
          <w:szCs w:val="13"/>
          <w:b w:val="1"/>
          <w:bCs w:val="1"/>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Values Eaton Mobility at approximately $5.1 billion and the combined company at over $10 billion in enterprise value</w:t>
      </w:r>
    </w:p>
    <w:p>
      <w:pPr>
        <w:spacing w:after="0" w:line="87" w:lineRule="exact"/>
        <w:rPr>
          <w:rFonts w:ascii="Times New Roman" w:cs="Times New Roman" w:eastAsia="Times New Roman" w:hAnsi="Times New Roman"/>
          <w:sz w:val="13"/>
          <w:szCs w:val="13"/>
          <w:b w:val="1"/>
          <w:bCs w:val="1"/>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Combined company expected to achieve $250 million of run-rate synergies within 24 months following closing</w:t>
      </w:r>
    </w:p>
    <w:p>
      <w:pPr>
        <w:spacing w:after="0" w:line="87" w:lineRule="exact"/>
        <w:rPr>
          <w:rFonts w:ascii="Times New Roman" w:cs="Times New Roman" w:eastAsia="Times New Roman" w:hAnsi="Times New Roman"/>
          <w:sz w:val="13"/>
          <w:szCs w:val="13"/>
          <w:b w:val="1"/>
          <w:bCs w:val="1"/>
          <w:color w:val="auto"/>
        </w:rPr>
      </w:pPr>
    </w:p>
    <w:p>
      <w:pPr>
        <w:ind w:left="1320" w:right="779" w:hanging="303"/>
        <w:spacing w:after="0" w:line="270" w:lineRule="auto"/>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Financially compelling combination effected through a Reverse Morris Trust transaction resulting in Eaton shareholders owning at least 50.1% and Dana shareholders owning approximately 49.9% of the combined company at close</w:t>
      </w:r>
    </w:p>
    <w:p>
      <w:pPr>
        <w:spacing w:after="0" w:line="52" w:lineRule="exact"/>
        <w:rPr>
          <w:rFonts w:ascii="Times New Roman" w:cs="Times New Roman" w:eastAsia="Times New Roman" w:hAnsi="Times New Roman"/>
          <w:sz w:val="13"/>
          <w:szCs w:val="13"/>
          <w:b w:val="1"/>
          <w:bCs w:val="1"/>
          <w:color w:val="auto"/>
        </w:rPr>
      </w:pPr>
    </w:p>
    <w:p>
      <w:pPr>
        <w:ind w:left="1320" w:right="779" w:hanging="303"/>
        <w:spacing w:after="0" w:line="270" w:lineRule="auto"/>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Accelerates and expands Dana 2030 strategy with 2030 targets increased to $14–$15 billion in sales, approximately 18% adjusted EBITDA margin, and an 8%–9% adjusted free cash flow margin</w:t>
      </w:r>
    </w:p>
    <w:p>
      <w:pPr>
        <w:spacing w:after="0" w:line="52" w:lineRule="exact"/>
        <w:rPr>
          <w:rFonts w:ascii="Times New Roman" w:cs="Times New Roman" w:eastAsia="Times New Roman" w:hAnsi="Times New Roman"/>
          <w:sz w:val="13"/>
          <w:szCs w:val="13"/>
          <w:b w:val="1"/>
          <w:bCs w:val="1"/>
          <w:color w:val="auto"/>
        </w:rPr>
      </w:pPr>
    </w:p>
    <w:p>
      <w:pPr>
        <w:ind w:left="1320" w:right="1119" w:hanging="303"/>
        <w:spacing w:after="0" w:line="270" w:lineRule="auto"/>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Enhances ability to deliver greater value to customers with a more comprehensive portfolio and deepened capabilities, and diversifies customer base and improves end-market mix</w:t>
      </w:r>
    </w:p>
    <w:p>
      <w:pPr>
        <w:spacing w:after="0" w:line="194" w:lineRule="exact"/>
        <w:rPr>
          <w:sz w:val="20"/>
          <w:szCs w:val="20"/>
          <w:color w:val="auto"/>
        </w:rPr>
      </w:pPr>
    </w:p>
    <w:p>
      <w:pPr>
        <w:ind w:left="640" w:right="679"/>
        <w:spacing w:after="0" w:line="250" w:lineRule="auto"/>
        <w:rPr>
          <w:sz w:val="20"/>
          <w:szCs w:val="20"/>
          <w:color w:val="auto"/>
        </w:rPr>
      </w:pPr>
      <w:r>
        <w:rPr>
          <w:rFonts w:ascii="Times New Roman" w:cs="Times New Roman" w:eastAsia="Times New Roman" w:hAnsi="Times New Roman"/>
          <w:sz w:val="13"/>
          <w:szCs w:val="13"/>
          <w:b w:val="1"/>
          <w:bCs w:val="1"/>
          <w:color w:val="auto"/>
        </w:rPr>
        <w:t>MAUMEE, Ohio, June 11, 2026 – Dana Incorporated (NYSE: DAN) today announced it has entered into a definitive agreement with Eaton Corporation plc (NYSE: ETN) to combine with Eaton’s Mobility business in a transaction valued at approximately $5.1 billion, representing approximately 8.3x estimated 2026 pro forma adjusted EBITDA before synergies, or approximately 5.9x including run-rate synergies. The transaction combines two highly complementary powertrain portfolios to create a comprehensive, differentiated leader in commercial and light vehicle markets.</w:t>
      </w:r>
    </w:p>
    <w:p>
      <w:pPr>
        <w:spacing w:after="0" w:line="131" w:lineRule="exact"/>
        <w:rPr>
          <w:sz w:val="20"/>
          <w:szCs w:val="20"/>
          <w:color w:val="auto"/>
        </w:rPr>
      </w:pPr>
    </w:p>
    <w:p>
      <w:pPr>
        <w:ind w:left="640" w:right="1119"/>
        <w:spacing w:after="0" w:line="257" w:lineRule="auto"/>
        <w:rPr>
          <w:sz w:val="20"/>
          <w:szCs w:val="20"/>
          <w:color w:val="auto"/>
        </w:rPr>
      </w:pPr>
      <w:r>
        <w:rPr>
          <w:rFonts w:ascii="Times New Roman" w:cs="Times New Roman" w:eastAsia="Times New Roman" w:hAnsi="Times New Roman"/>
          <w:sz w:val="13"/>
          <w:szCs w:val="13"/>
          <w:b w:val="1"/>
          <w:bCs w:val="1"/>
          <w:color w:val="auto"/>
        </w:rPr>
        <w:t>The transaction is structured as a Reverse Morris Trust with Eaton shareholders owning at least 50.1% and Dana shareholders owning approximately 49.9% of the combined company at close. Under the terms of the agreement, Eaton will receive a cash distribution of approximately $1.1 billion (subject to adjustments for cash and indebtedness).</w:t>
      </w:r>
    </w:p>
    <w:p>
      <w:pPr>
        <w:spacing w:after="0" w:line="126" w:lineRule="exact"/>
        <w:rPr>
          <w:sz w:val="20"/>
          <w:szCs w:val="20"/>
          <w:color w:val="auto"/>
        </w:rPr>
      </w:pPr>
    </w:p>
    <w:p>
      <w:pPr>
        <w:ind w:left="640" w:right="719"/>
        <w:spacing w:after="0" w:line="250" w:lineRule="auto"/>
        <w:rPr>
          <w:sz w:val="20"/>
          <w:szCs w:val="20"/>
          <w:color w:val="auto"/>
        </w:rPr>
      </w:pPr>
      <w:r>
        <w:rPr>
          <w:rFonts w:ascii="Times New Roman" w:cs="Times New Roman" w:eastAsia="Times New Roman" w:hAnsi="Times New Roman"/>
          <w:sz w:val="13"/>
          <w:szCs w:val="13"/>
          <w:b w:val="1"/>
          <w:bCs w:val="1"/>
          <w:color w:val="auto"/>
        </w:rPr>
        <w:t>Dana’s Chairman, R. Bruce McDonald, will serve as Executive Chairman of the combined company with responsibility for integration and synergy realization, and Byron Foster will serve as Chief Executive Officer, with both assuming their roles on July 1, 2026. Timothy Kraus will continue as Chief Financial Officer, and Eaton’s Erin Rowse, Senior Vice President Human Resources, Industrial, will serve as Chief Human Resources Officer at closing. The broader leadership team will include executives from both organizations. The combined company’s Board of Directors will be comprised of all the members of Dana’s Board of Directors and three Eaton designees.</w:t>
      </w:r>
    </w:p>
    <w:p>
      <w:pPr>
        <w:spacing w:after="0" w:line="131" w:lineRule="exact"/>
        <w:rPr>
          <w:sz w:val="20"/>
          <w:szCs w:val="20"/>
          <w:color w:val="auto"/>
        </w:rPr>
      </w:pPr>
    </w:p>
    <w:p>
      <w:pPr>
        <w:ind w:left="640" w:right="1079"/>
        <w:spacing w:after="0" w:line="257" w:lineRule="auto"/>
        <w:rPr>
          <w:sz w:val="20"/>
          <w:szCs w:val="20"/>
          <w:color w:val="auto"/>
        </w:rPr>
      </w:pPr>
      <w:r>
        <w:rPr>
          <w:rFonts w:ascii="Times New Roman" w:cs="Times New Roman" w:eastAsia="Times New Roman" w:hAnsi="Times New Roman"/>
          <w:sz w:val="13"/>
          <w:szCs w:val="13"/>
          <w:b w:val="1"/>
          <w:bCs w:val="1"/>
          <w:color w:val="auto"/>
        </w:rPr>
        <w:t>The combination will integrate Dana’s global powertrain, thermal, and sealing technologies with Eaton Mobility’s commercial vehicle transmissions, engine and emissions products, and advanced electrification capabilities, creating a more comprehensive supplier serving commercial and light vehicle markets, as well as the associated aftermarket channels.</w:t>
      </w:r>
    </w:p>
    <w:p>
      <w:pPr>
        <w:spacing w:after="0" w:line="126" w:lineRule="exact"/>
        <w:rPr>
          <w:sz w:val="20"/>
          <w:szCs w:val="20"/>
          <w:color w:val="auto"/>
        </w:rPr>
      </w:pPr>
    </w:p>
    <w:p>
      <w:pPr>
        <w:ind w:left="640" w:right="819"/>
        <w:spacing w:after="0" w:line="273" w:lineRule="auto"/>
        <w:rPr>
          <w:sz w:val="20"/>
          <w:szCs w:val="20"/>
          <w:color w:val="auto"/>
        </w:rPr>
      </w:pPr>
      <w:r>
        <w:rPr>
          <w:rFonts w:ascii="Times New Roman" w:cs="Times New Roman" w:eastAsia="Times New Roman" w:hAnsi="Times New Roman"/>
          <w:sz w:val="12"/>
          <w:szCs w:val="12"/>
          <w:b w:val="1"/>
          <w:bCs w:val="1"/>
          <w:color w:val="auto"/>
        </w:rPr>
        <w:t>“This transaction marks an important milestone in our transformation and positions Dana as a leading, scaled provider of powertrain solutions,” said Byron Foster, Dana’s incoming Chief Executive Officer. “By expanding our presence in core markets with new products and complementary technologies, we are enhancing our ability to deliver greater value to customers while strengthening margins through a more balanced portfolio and meaningful synergies. Importantly, we are bringing together highly skilled and dedicated teams whose expertise will drive our future success. This combination further accelerates the execution and expands the scope of our Dana 2030 strategy by increasing scale, deepening our aftermarket capabilities, and advancing both our traditional and electrification technologies.”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6" w:name="page7"/>
    <w:bookmarkEnd w:id="6"/>
    <w:p>
      <w:pPr>
        <w:ind w:left="640" w:right="71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Paulo Ruiz, Eaton Chief Executive Officer, said, “We are pleased to have reached this agreement, which delivers significant value to Eaton and its shareholders, further aligns our existing portfolio with powerful megatrends and supports Eaton’s 2030 growth strategy to lead, invest, and execute for growth. Together, Eaton Mobility and Dana will create a leading and global engineering solutions partner, well positioned to serve commercial vehicle and light vehicle markets worldwide. We are incredibly proud of the reputation and credibility that our Eaton Mobility team has built, and we are confident that this highly complementary combination will drive meaningful value for customers, employees and shareholders alike.”</w:t>
      </w:r>
    </w:p>
    <w:p>
      <w:pPr>
        <w:spacing w:after="0" w:line="135"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b w:val="1"/>
          <w:bCs w:val="1"/>
          <w:color w:val="auto"/>
        </w:rPr>
        <w:t>“This transaction meaningfully enhances our long-term financial outlook and enables us to significantly increase our Dana 2030 targets,” said Timothy Kraus, Dana’s Chief Financial Officer. “Our prior targets included approximately $10 billion in sales, 14% to 15% adjusted EBITDA margins, and a 6% adjusted free cash flow margin. With the addition of Eaton Mobility, we are now targeting $14 to $15 billion in sales, approximately 18% adjusted EBITDA margins, and an 8%-9% adjusted free cash flow margin by 2030. Importantly, after funding the approximately $1.1 billion cash distribution to Eaton, we expect to maintain a strong balance sheet with approximately 1.2x net leverage on a pro forma 2026 estimated basis, supporting continued investment and disciplined capital allocation.”</w:t>
      </w:r>
    </w:p>
    <w:p>
      <w:pPr>
        <w:spacing w:after="0" w:line="135"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b w:val="1"/>
          <w:bCs w:val="1"/>
          <w:color w:val="auto"/>
        </w:rPr>
        <w:t>Following closing, Dana is expected to operate with expanded global scale, higher margins, broader customer coverage, and a more complete portfolio spanning mechanical systems and electrified power delivery solutions. The combined company strengthens OEM relationships across commercial and light vehicle markets, and related aftermarkets.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Transaction Details</w:t>
      </w:r>
    </w:p>
    <w:p>
      <w:pPr>
        <w:spacing w:after="0" w:line="78" w:lineRule="exact"/>
        <w:rPr>
          <w:sz w:val="20"/>
          <w:szCs w:val="20"/>
          <w:color w:val="auto"/>
        </w:rPr>
      </w:pPr>
    </w:p>
    <w:p>
      <w:pPr>
        <w:ind w:left="640" w:right="739"/>
        <w:spacing w:after="0" w:line="250" w:lineRule="auto"/>
        <w:rPr>
          <w:sz w:val="20"/>
          <w:szCs w:val="20"/>
          <w:color w:val="auto"/>
        </w:rPr>
      </w:pPr>
      <w:r>
        <w:rPr>
          <w:rFonts w:ascii="Times New Roman" w:cs="Times New Roman" w:eastAsia="Times New Roman" w:hAnsi="Times New Roman"/>
          <w:sz w:val="13"/>
          <w:szCs w:val="13"/>
          <w:b w:val="1"/>
          <w:bCs w:val="1"/>
          <w:color w:val="auto"/>
        </w:rPr>
        <w:t>The transaction, which has been unanimously approved by the Boards of both companies, is structured as a “Reverse Morris Trust” transaction, where Eaton will first separate its Mobility Group to Eaton shareholders through either an exchange offer (split-off) or a pro rata distribution (spin-off), at Eaton’s election. Immediately thereafter, Dana will merge with a subsidiary of the Mobility Group, with Dana surviving as a wholly owned subsidiary of the Mobility Group. Upon close of the transaction, existing Eaton shareholders will own at least 50.1% of the shares of the combined company.</w:t>
      </w:r>
    </w:p>
    <w:p>
      <w:pPr>
        <w:spacing w:after="0" w:line="131"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3"/>
          <w:szCs w:val="13"/>
          <w:b w:val="1"/>
          <w:bCs w:val="1"/>
          <w:color w:val="auto"/>
        </w:rPr>
        <w:t>The transaction values Eaton Mobility at $5.1 billion on a cash-free, debt-free basis, representing approximately 5.9x fully synergized estimated 2026 pro forma adjusted EBITDA. In connection with the transaction, Eaton is expected to receive a cash distribution of approximately $1.1 billion (subject to adjustments for cash and indebtedness), funded through new debt raised prior to closing.</w:t>
      </w:r>
    </w:p>
    <w:p>
      <w:pPr>
        <w:spacing w:after="0" w:line="126" w:lineRule="exact"/>
        <w:rPr>
          <w:sz w:val="20"/>
          <w:szCs w:val="20"/>
          <w:color w:val="auto"/>
        </w:rPr>
      </w:pPr>
    </w:p>
    <w:p>
      <w:pPr>
        <w:ind w:left="640" w:right="859"/>
        <w:spacing w:after="0" w:line="257" w:lineRule="auto"/>
        <w:rPr>
          <w:sz w:val="20"/>
          <w:szCs w:val="20"/>
          <w:color w:val="auto"/>
        </w:rPr>
      </w:pPr>
      <w:r>
        <w:rPr>
          <w:rFonts w:ascii="Times New Roman" w:cs="Times New Roman" w:eastAsia="Times New Roman" w:hAnsi="Times New Roman"/>
          <w:sz w:val="13"/>
          <w:szCs w:val="13"/>
          <w:b w:val="1"/>
          <w:bCs w:val="1"/>
          <w:color w:val="auto"/>
        </w:rPr>
        <w:t>The combination creates a company with approximately $11 billion in sales on a pro forma 2026 estimated basis. The significantly enhanced financial profile includes improved margins and free cash flow supported by cost synergies and a stronger mix of aftermarket and higher-margin product offerings.</w:t>
      </w:r>
    </w:p>
    <w:p>
      <w:pPr>
        <w:spacing w:after="0" w:line="126" w:lineRule="exact"/>
        <w:rPr>
          <w:sz w:val="20"/>
          <w:szCs w:val="20"/>
          <w:color w:val="auto"/>
        </w:rPr>
      </w:pPr>
    </w:p>
    <w:p>
      <w:pPr>
        <w:ind w:left="640" w:right="1179"/>
        <w:spacing w:after="0" w:line="270" w:lineRule="auto"/>
        <w:rPr>
          <w:sz w:val="20"/>
          <w:szCs w:val="20"/>
          <w:color w:val="auto"/>
        </w:rPr>
      </w:pPr>
      <w:r>
        <w:rPr>
          <w:rFonts w:ascii="Times New Roman" w:cs="Times New Roman" w:eastAsia="Times New Roman" w:hAnsi="Times New Roman"/>
          <w:sz w:val="13"/>
          <w:szCs w:val="13"/>
          <w:b w:val="1"/>
          <w:bCs w:val="1"/>
          <w:color w:val="auto"/>
        </w:rPr>
        <w:t>The transaction is expected to deliver $250 million in annual run-rate synergies within 24 months following closing, driven by reduced structural costs, purchasing scale, manufacturing optimization, and engineering efficiencies.</w:t>
      </w:r>
    </w:p>
    <w:p>
      <w:pPr>
        <w:spacing w:after="0" w:line="119" w:lineRule="exact"/>
        <w:rPr>
          <w:sz w:val="20"/>
          <w:szCs w:val="20"/>
          <w:color w:val="auto"/>
        </w:rPr>
      </w:pPr>
    </w:p>
    <w:p>
      <w:pPr>
        <w:ind w:left="640" w:right="1299"/>
        <w:spacing w:after="0" w:line="313" w:lineRule="auto"/>
        <w:rPr>
          <w:sz w:val="20"/>
          <w:szCs w:val="20"/>
          <w:color w:val="auto"/>
        </w:rPr>
      </w:pPr>
      <w:r>
        <w:rPr>
          <w:rFonts w:ascii="Times New Roman" w:cs="Times New Roman" w:eastAsia="Times New Roman" w:hAnsi="Times New Roman"/>
          <w:sz w:val="12"/>
          <w:szCs w:val="12"/>
          <w:b w:val="1"/>
          <w:bCs w:val="1"/>
          <w:color w:val="auto"/>
        </w:rPr>
        <w:t>Following completion of the transaction, the combined company is expected to maintain a strong balance sheet with net leverage of approximately 1.2x on a fully synergized pro forma 2026 estimated basis, and Dana is expected to maintain its current credit rating.</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The combined company will continue to operate under the Dana Incorporated name and retain its listing on the New York Stock Exchange.</w:t>
      </w:r>
    </w:p>
    <w:p>
      <w:pPr>
        <w:spacing w:after="0" w:line="165" w:lineRule="exact"/>
        <w:rPr>
          <w:sz w:val="20"/>
          <w:szCs w:val="20"/>
          <w:color w:val="auto"/>
        </w:rPr>
      </w:pPr>
    </w:p>
    <w:p>
      <w:pPr>
        <w:ind w:left="640" w:right="779"/>
        <w:spacing w:after="0" w:line="313" w:lineRule="auto"/>
        <w:rPr>
          <w:sz w:val="20"/>
          <w:szCs w:val="20"/>
          <w:color w:val="auto"/>
        </w:rPr>
      </w:pPr>
      <w:r>
        <w:rPr>
          <w:rFonts w:ascii="Times New Roman" w:cs="Times New Roman" w:eastAsia="Times New Roman" w:hAnsi="Times New Roman"/>
          <w:sz w:val="12"/>
          <w:szCs w:val="12"/>
          <w:b w:val="1"/>
          <w:bCs w:val="1"/>
          <w:color w:val="auto"/>
        </w:rPr>
        <w:t>The transaction is expected to be tax-free to Dana and Eaton shareholders for U.S. federal income tax purposes and is expected to close in the first quarter of 2027, subject to approval by Dana shareholders, receipt of regulatory approvals, and other customary closing conditions.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Eaton today issued a separate press release regarding this transaction.</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Advisors</w:t>
      </w:r>
    </w:p>
    <w:p>
      <w:pPr>
        <w:spacing w:after="0" w:line="78" w:lineRule="exact"/>
        <w:rPr>
          <w:sz w:val="20"/>
          <w:szCs w:val="20"/>
          <w:color w:val="auto"/>
        </w:rPr>
      </w:pPr>
    </w:p>
    <w:p>
      <w:pPr>
        <w:ind w:left="640" w:right="839"/>
        <w:spacing w:after="0" w:line="257" w:lineRule="auto"/>
        <w:rPr>
          <w:sz w:val="20"/>
          <w:szCs w:val="20"/>
          <w:color w:val="auto"/>
        </w:rPr>
      </w:pPr>
      <w:r>
        <w:rPr>
          <w:rFonts w:ascii="Times New Roman" w:cs="Times New Roman" w:eastAsia="Times New Roman" w:hAnsi="Times New Roman"/>
          <w:sz w:val="13"/>
          <w:szCs w:val="13"/>
          <w:b w:val="1"/>
          <w:bCs w:val="1"/>
          <w:color w:val="auto"/>
        </w:rPr>
        <w:t>Goldman Sachs &amp; Co. LLC is serving as exclusive financial advisor, Kirkland &amp; Ellis LLP is serving as legal counsel to Dana, and Ernst and Young LLP is serving as transaction advisor. Goldman Sachs Bank USA is serving as sole underwriter of the committed financing for the transaction.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Dana to Host Conference Call at 8:30 a.m. Thursday, June 11</w:t>
      </w:r>
    </w:p>
    <w:p>
      <w:pPr>
        <w:spacing w:after="0" w:line="78"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3"/>
          <w:szCs w:val="13"/>
          <w:b w:val="1"/>
          <w:bCs w:val="1"/>
          <w:color w:val="auto"/>
        </w:rPr>
        <w:t>Dana will discuss this transaction in a conference call at 8:30 a.m. EDT on Thursday, June 11. The conference call can be accessed by telephone from both domestic and international locations using the information provided below:</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ID: 9943139</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 Toll-Free Dial-In Number: (888) 440-5873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 Toll Dial-In Number: 1 (646) 960-0319</w:t>
      </w:r>
    </w:p>
    <w:p>
      <w:pPr>
        <w:spacing w:after="0" w:line="139" w:lineRule="exact"/>
        <w:rPr>
          <w:sz w:val="20"/>
          <w:szCs w:val="20"/>
          <w:color w:val="auto"/>
        </w:rPr>
      </w:pPr>
    </w:p>
    <w:p>
      <w:pPr>
        <w:ind w:left="640" w:right="12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Audio streaming and slides will be available online via a link provided on the Dana investor website: </w:t>
      </w:r>
      <w:r>
        <w:rPr>
          <w:rFonts w:ascii="Times New Roman" w:cs="Times New Roman" w:eastAsia="Times New Roman" w:hAnsi="Times New Roman"/>
          <w:sz w:val="13"/>
          <w:szCs w:val="13"/>
          <w:b w:val="1"/>
          <w:bCs w:val="1"/>
          <w:u w:val="single" w:color="auto"/>
          <w:color w:val="auto"/>
        </w:rPr>
        <w:t>www.dana.com/investors</w:t>
      </w:r>
      <w:r>
        <w:rPr>
          <w:rFonts w:ascii="Times New Roman" w:cs="Times New Roman" w:eastAsia="Times New Roman" w:hAnsi="Times New Roman"/>
          <w:sz w:val="13"/>
          <w:szCs w:val="13"/>
          <w:b w:val="1"/>
          <w:bCs w:val="1"/>
          <w:color w:val="auto"/>
        </w:rPr>
        <w:t>. Phone registration will be available beginning at 8:00 a.m. EDT.</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 webcast replay can be accessed via Dana’s investor website following the call.</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About Dana Incorporated</w:t>
      </w:r>
    </w:p>
    <w:p>
      <w:pPr>
        <w:spacing w:after="0" w:line="78" w:lineRule="exact"/>
        <w:rPr>
          <w:sz w:val="20"/>
          <w:szCs w:val="20"/>
          <w:color w:val="auto"/>
        </w:rPr>
      </w:pPr>
    </w:p>
    <w:p>
      <w:pPr>
        <w:ind w:left="640" w:right="739"/>
        <w:spacing w:after="0" w:line="250" w:lineRule="auto"/>
        <w:rPr>
          <w:sz w:val="20"/>
          <w:szCs w:val="20"/>
          <w:color w:val="auto"/>
        </w:rPr>
      </w:pPr>
      <w:r>
        <w:rPr>
          <w:rFonts w:ascii="Times New Roman" w:cs="Times New Roman" w:eastAsia="Times New Roman" w:hAnsi="Times New Roman"/>
          <w:sz w:val="13"/>
          <w:szCs w:val="13"/>
          <w:b w:val="1"/>
          <w:bCs w:val="1"/>
          <w:color w:val="auto"/>
        </w:rPr>
        <w:t>Dana Incorporated (NYSE: DAN) is a global leader in the design and manufacture of highly efficient propulsion solutions for the light- and commercial-vehicle markets. Guided by its vision to be the world’s best powertrain company, Dana delivers advanced conventional and clean-energy technologies that help customers improve the performance, efficiency, and durability of their vehicles. The company supplies leading vehicle manufacturers and related aftermarkets with industry-defining drive systems, electrodynamic technologies, and thermal and sealing solutions.</w:t>
      </w:r>
    </w:p>
    <w:p>
      <w:pPr>
        <w:spacing w:after="0" w:line="55"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3"/>
          <w:szCs w:val="13"/>
          <w:b w:val="1"/>
          <w:bCs w:val="1"/>
          <w:color w:val="auto"/>
        </w:rPr>
        <w:t>Headquartered in Maumee, Ohio, USA, Dana reported sales of $7.5 billion in 2025. With a history dating to 1904, the company employs 27,000 people in 24 countries across six continents. Learn more at dana.com</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Cautionary Notes on Forward-Looking Statements</w:t>
      </w:r>
    </w:p>
    <w:p>
      <w:pPr>
        <w:spacing w:after="0" w:line="78"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2"/>
          <w:szCs w:val="12"/>
          <w:b w:val="1"/>
          <w:bCs w:val="1"/>
          <w:color w:val="auto"/>
        </w:rPr>
        <w:t>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49"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b w:val="1"/>
          <w:bCs w:val="1"/>
          <w:color w:val="auto"/>
        </w:rPr>
        <w:t>These forward-looking statements are based on Eaton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8" w:name="page9"/>
    <w:bookmarkEnd w:id="8"/>
    <w:p>
      <w:pPr>
        <w:ind w:left="640" w:right="659"/>
        <w:spacing w:after="0" w:line="26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 and Dana’s stock prices; restrictions on the conduct of Eaton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 and Dana’s reports filed with the Securities and Exchange Commission (the “SEC”), including Eaton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280" w:lineRule="exact"/>
        <w:rPr>
          <w:sz w:val="20"/>
          <w:szCs w:val="20"/>
          <w:color w:val="auto"/>
        </w:rPr>
      </w:pPr>
    </w:p>
    <w:p>
      <w:pPr>
        <w:jc w:val="both"/>
        <w:ind w:left="640" w:right="779"/>
        <w:spacing w:after="0" w:line="288" w:lineRule="auto"/>
        <w:rPr>
          <w:sz w:val="20"/>
          <w:szCs w:val="20"/>
          <w:color w:val="auto"/>
        </w:rPr>
      </w:pPr>
      <w:r>
        <w:rPr>
          <w:rFonts w:ascii="Times New Roman" w:cs="Times New Roman" w:eastAsia="Times New Roman" w:hAnsi="Times New Roman"/>
          <w:sz w:val="12"/>
          <w:szCs w:val="12"/>
          <w:b w:val="1"/>
          <w:bCs w:val="1"/>
          <w:color w:val="auto"/>
        </w:rPr>
        <w:t>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110" w:lineRule="exact"/>
        <w:rPr>
          <w:sz w:val="20"/>
          <w:szCs w:val="20"/>
          <w:color w:val="auto"/>
        </w:rPr>
      </w:pPr>
    </w:p>
    <w:p>
      <w:pPr>
        <w:jc w:val="both"/>
        <w:ind w:left="640" w:right="799"/>
        <w:spacing w:after="0" w:line="252" w:lineRule="auto"/>
        <w:rPr>
          <w:sz w:val="20"/>
          <w:szCs w:val="20"/>
          <w:color w:val="auto"/>
        </w:rPr>
      </w:pPr>
      <w:r>
        <w:rPr>
          <w:rFonts w:ascii="Times New Roman" w:cs="Times New Roman" w:eastAsia="Times New Roman" w:hAnsi="Times New Roman"/>
          <w:sz w:val="13"/>
          <w:szCs w:val="13"/>
          <w:b w:val="1"/>
          <w:bCs w:val="1"/>
          <w:color w:val="auto"/>
        </w:rPr>
        <w:t>It should also be noted that projected financial information for the combined company is based on management’s estimates, assumptions and projections and has not been prepared in conformance with the applicable accounting requirements of Regulation S-X relating to pro forma financial information, and the required pro forma adjustments have not been applied and are not reflected therein. None of this information should be considered in isolation from, or as a substitute for, the historical financial statements of Dana or SpinCo.</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Important Information About the Transaction and Where to Find It</w:t>
      </w:r>
    </w:p>
    <w:p>
      <w:pPr>
        <w:spacing w:after="0" w:line="78"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b w:val="1"/>
          <w:bCs w:val="1"/>
          <w:color w:val="auto"/>
        </w:rPr>
        <w:t>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9" w:name="page10"/>
    <w:bookmarkEnd w:id="9"/>
    <w:p>
      <w:pPr>
        <w:ind w:left="640" w:right="659"/>
        <w:spacing w:after="0" w:line="246"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Participants in the Solicitation</w:t>
      </w:r>
    </w:p>
    <w:p>
      <w:pPr>
        <w:spacing w:after="0" w:line="78" w:lineRule="exact"/>
        <w:rPr>
          <w:sz w:val="20"/>
          <w:szCs w:val="20"/>
          <w:color w:val="auto"/>
        </w:rPr>
      </w:pPr>
    </w:p>
    <w:p>
      <w:pPr>
        <w:ind w:left="640" w:right="739"/>
        <w:spacing w:after="0" w:line="246" w:lineRule="auto"/>
        <w:rPr>
          <w:sz w:val="20"/>
          <w:szCs w:val="20"/>
          <w:color w:val="auto"/>
        </w:rPr>
      </w:pPr>
      <w:r>
        <w:rPr>
          <w:rFonts w:ascii="Times New Roman" w:cs="Times New Roman" w:eastAsia="Times New Roman" w:hAnsi="Times New Roman"/>
          <w:sz w:val="13"/>
          <w:szCs w:val="13"/>
          <w:b w:val="1"/>
          <w:bCs w:val="1"/>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No Offer or Solicitation</w:t>
      </w:r>
    </w:p>
    <w:p>
      <w:pPr>
        <w:spacing w:after="0" w:line="78"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b w:val="1"/>
          <w:bCs w:val="1"/>
          <w:color w:val="auto"/>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Note Regarding Use of Non-GAAP Financial Measures</w:t>
      </w:r>
    </w:p>
    <w:p>
      <w:pPr>
        <w:spacing w:after="0" w:line="78"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b w:val="1"/>
          <w:bCs w:val="1"/>
          <w:color w:val="auto"/>
        </w:rPr>
        <w:t>In addition to the financial measures presented in accordance with U.S. generally accepted accounting principles (“U.S. GAAP”), this communication includes certain non-GAAP financial measures (collectively, the “Non-GAAP Measures”), such as adjusted EBITDA, adjusted EBITDA margin and adjusted free cash flow margin. 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except for financial guidance and other forward-looking information since such a reconciliation is not practicable without unreasonable effort as Dana is unable to reasonably forecast certain amounts that are necessary for such reconciliation.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 Craig Barber</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+1-419-887-5166</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craig.barber@dana.com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2026-06-11T05:43:39Z</dcterms:created>
  <dcterms:modified xsi:type="dcterms:W3CDTF">2026-06-11T05:43:39Z</dcterms:modified>
</cp:coreProperties>
</file>