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sz w:val="20"/>
        </w:rPr>
      </w:pPr>
      <w:bookmarkStart w:id="0" w:name="eh260815207_425.htm"/>
      <w:bookmarkStart w:id="1" w:name="kseh260815207_425"/>
      <w:bookmarkEnd w:id="0"/>
      <w:bookmarkEnd w:id="1"/>
      <w:r>
        <w:rPr>
          <w:rFonts w:ascii="Times New Roman;Times;Serif" w:hAnsi="Times New Roman;Times;Serif"/>
          <w:sz w:val="20"/>
        </w:rPr>
        <w:t>Filed by Eaton Corporation plc</w:t>
      </w:r>
    </w:p>
    <w:p>
      <w:pPr>
        <w:pStyle w:val="TextBody"/>
        <w:bidi w:val="0"/>
        <w:ind w:left="0" w:right="0" w:firstLine="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ind w:left="0" w:right="0" w:firstLine="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w:t>
      </w:r>
    </w:p>
    <w:p>
      <w:pPr>
        <w:pStyle w:val="TextBody"/>
        <w:bidi w:val="0"/>
        <w:ind w:left="0" w:right="0" w:firstLine="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ind w:left="0" w:right="0" w:firstLine="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Dana Incorporated</w:t>
      </w:r>
    </w:p>
    <w:p>
      <w:pPr>
        <w:pStyle w:val="TextBody"/>
        <w:bidi w:val="0"/>
        <w:ind w:left="0" w:right="0" w:firstLine="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001-01063</w:t>
      </w:r>
    </w:p>
    <w:p>
      <w:pPr>
        <w:pStyle w:val="TextBody"/>
        <w:bidi w:val="0"/>
        <w:ind w:left="0" w:right="0" w:firstLine="1440"/>
        <w:jc w:val="right"/>
        <w:rPr>
          <w:caps w:val="false"/>
          <w:smallCaps w:val="false"/>
        </w:rPr>
      </w:pPr>
      <w:r>
        <w:rPr>
          <w:caps w:val="false"/>
          <w:smallCaps w:val="false"/>
        </w:rPr>
        <w:t> </w:t>
      </w:r>
    </w:p>
    <w:p>
      <w:pPr>
        <w:pStyle w:val="TextBody"/>
        <w:bidi w:val="0"/>
        <w:ind w:left="0" w:right="0" w:firstLine="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excerpt of the earnings release and quarterly report on Form 10-Q for the quarter ended June 30, 2026 of Eaton Corporation plc (the “Company”) is being filed in connection with the proposed business combination between Mobility (USA) Corporation, a wholly owned subsidiary of the Company, and Dana Incorporated.</w:t>
      </w:r>
    </w:p>
    <w:p>
      <w:pPr>
        <w:pStyle w:val="TextBody"/>
        <w:bidi w:val="0"/>
        <w:spacing w:before="0" w:after="24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Planned Separation of Mobility Business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Eaton announced its intention to separate its Mobility business segment from the rest of Eaton via a spin-off. On June 10, 2026, Eaton entered into definitive agreements with Dana Incorporated (Dana), whereby Eaton will separate the Mobility business and combine it with Dana in a Reverse Morris Trust (RMT) transaction (the separation and merger with and into Dana described below collectively referred to as the Transaction). As part of the Transaction, Eaton will distribute the Mobility business (other than certain assets and liabilities that will be sold directly to Dana in a concurrent asset sale) to Eaton shareholders through an exchange offer (split-off), in which Eaton shareholders will have the opportunity to tender their Eaton shares in exchange for shares of Mobility (USA) Corporation, a wholly owned subsidiary of Eaton (SpinCo), followed, if necessary, by a clean-up pro rata distribution. Immediately thereafter, a direct, wholly owned subsidiary of SpinCo will merge with and into Dana, with Dana surviving as a direct, wholly owned subsidiary of SpinCo. Following completion of the Transaction, Eaton shareholders are expected to own at least 50.1% of the combined company's outstanding shares. Eaton will also receive a cash distribution of approximately $1.1 billion prior to completion of the Transaction, subject to a customary cash and indebtedness adjustment and tax payments to various global jurisdictions and transaction related charges. Eaton expects to use the cash distribution consistent with its capital allocation framework, including repayment of outstanding indebtedness.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RMT transaction is intended to be tax-free for U.S. federal income tax purposes to Eaton and Eaton’s shareholders and is expected to close in the first quarter of 2027, subject to Dana stockholder approval, regulatory approvals, and customary closing conditions. Until the Transaction closes, the Mobility business segment will continue to operate as a business segment of Eaton and its financial results reported in Eaton’s continuing operations. In the event the Transaction is not consummated, Eaton intends to separate its Mobility business segment in a spin-off.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Notes on Forward-Looking Statements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Eaton’s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Eaton’s and Dana’s stock prices; restrictions on the conduct of Eaton’s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Eaton’s and Dana’s reports filed with the Securities and Exchange Commission (the “SEC”), including Eaton’s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Information About the Transaction and Where to Find 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SpinCo intends to file with the SEC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also intends to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w:t>
      </w:r>
      <w:r>
        <w:rPr>
          <w:rFonts w:ascii="Times New Roman;Times;Serif" w:hAnsi="Times New Roman;Times;Serif"/>
          <w:b w:val="false"/>
          <w:i w:val="false"/>
          <w:caps w:val="false"/>
          <w:smallCaps w:val="false"/>
          <w:color w:val="0000FF"/>
          <w:sz w:val="20"/>
          <w:u w:val="single"/>
        </w:rPr>
        <w:t>http://www.sec.gov</w:t>
      </w:r>
      <w:r>
        <w:rPr>
          <w:rFonts w:ascii="Times New Roman;Times;Serif" w:hAnsi="Times New Roman;Times;Serif"/>
          <w:b w:val="false"/>
          <w:i w:val="false"/>
          <w:caps w:val="false"/>
          <w:smallCaps w:val="false"/>
          <w:sz w:val="20"/>
        </w:rPr>
        <w:t>.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pStyle w:val="TextBody"/>
        <w:bidi w:val="0"/>
        <w:spacing w:before="0" w:after="24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60"/>
        <w:gridCol w:w="15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1974</Words>
  <Characters>11231</Characters>
  <CharactersWithSpaces>13205</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